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left"/>
        <w:rPr>
          <w:rFonts w:hint="eastAsia" w:ascii="黑体" w:hAnsi="黑体" w:eastAsia="黑体" w:cs="黑体"/>
          <w:b w:val="0"/>
          <w:bCs w:val="0"/>
          <w:sz w:val="32"/>
          <w:szCs w:val="32"/>
        </w:rPr>
      </w:pPr>
      <w:bookmarkStart w:id="48" w:name="_GoBack"/>
      <w:bookmarkEnd w:id="48"/>
      <w:r>
        <w:rPr>
          <w:rFonts w:hint="eastAsia" w:ascii="黑体" w:hAnsi="黑体" w:eastAsia="黑体" w:cs="黑体"/>
          <w:b w:val="0"/>
          <w:bCs w:val="0"/>
          <w:sz w:val="32"/>
          <w:szCs w:val="32"/>
        </w:rPr>
        <w:t>附件1</w:t>
      </w:r>
    </w:p>
    <w:p>
      <w:pPr>
        <w:wordWrap w:val="0"/>
        <w:spacing w:line="600" w:lineRule="exact"/>
        <w:jc w:val="center"/>
        <w:rPr>
          <w:rFonts w:hint="default" w:ascii="Times New Roman" w:hAnsi="Times New Roman" w:eastAsia="方正小标宋_GBK" w:cs="Times New Roman"/>
          <w:b w:val="0"/>
          <w:bCs w:val="0"/>
          <w:kern w:val="0"/>
          <w:sz w:val="44"/>
          <w:szCs w:val="44"/>
        </w:rPr>
      </w:pPr>
      <w:r>
        <w:rPr>
          <w:rFonts w:hint="default" w:ascii="Times New Roman" w:hAnsi="Times New Roman" w:eastAsia="方正小标宋_GBK" w:cs="Times New Roman"/>
          <w:b w:val="0"/>
          <w:bCs w:val="0"/>
          <w:kern w:val="0"/>
          <w:sz w:val="44"/>
          <w:szCs w:val="44"/>
        </w:rPr>
        <w:t>贵州省生态环境管控单元分类图</w:t>
      </w:r>
    </w:p>
    <w:p>
      <w:pPr>
        <w:wordWrap w:val="0"/>
        <w:spacing w:line="600" w:lineRule="exact"/>
        <w:jc w:val="center"/>
        <w:rPr>
          <w:rFonts w:hint="default" w:ascii="Times New Roman" w:hAnsi="Times New Roman" w:eastAsia="方正小标宋_GBK" w:cs="Times New Roman"/>
          <w:b w:val="0"/>
          <w:bCs w:val="0"/>
          <w:kern w:val="0"/>
          <w:sz w:val="44"/>
          <w:szCs w:val="44"/>
        </w:rPr>
      </w:pPr>
    </w:p>
    <w:p>
      <w:pPr>
        <w:wordWrap w:val="0"/>
        <w:spacing w:line="200" w:lineRule="exact"/>
        <w:jc w:val="center"/>
        <w:rPr>
          <w:rFonts w:hint="default" w:ascii="Times New Roman" w:hAnsi="Times New Roman" w:eastAsia="Arial Unicode MS" w:cs="Times New Roman"/>
          <w:b w:val="0"/>
          <w:bCs w:val="0"/>
          <w:kern w:val="0"/>
          <w:sz w:val="44"/>
          <w:szCs w:val="44"/>
        </w:rPr>
      </w:pPr>
      <w:r>
        <w:rPr>
          <w:rFonts w:hint="default" w:ascii="Times New Roman" w:hAnsi="Times New Roman" w:eastAsia="Arial Unicode MS" w:cs="Times New Roman"/>
          <w:b w:val="0"/>
          <w:bCs w:val="0"/>
          <w:kern w:val="0"/>
          <w:sz w:val="44"/>
          <w:szCs w:val="44"/>
        </w:rPr>
        <w:drawing>
          <wp:anchor distT="0" distB="0" distL="114300" distR="114300" simplePos="0" relativeHeight="251661312" behindDoc="0" locked="0" layoutInCell="1" allowOverlap="1">
            <wp:simplePos x="0" y="0"/>
            <wp:positionH relativeFrom="column">
              <wp:posOffset>-46355</wp:posOffset>
            </wp:positionH>
            <wp:positionV relativeFrom="paragraph">
              <wp:posOffset>1905</wp:posOffset>
            </wp:positionV>
            <wp:extent cx="5273675" cy="3728720"/>
            <wp:effectExtent l="0" t="0" r="3175" b="5080"/>
            <wp:wrapNone/>
            <wp:docPr id="6" name="图片 1" descr="28贵州省环境管控单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28贵州省环境管控单元图.jpg"/>
                    <pic:cNvPicPr>
                      <a:picLocks noChangeAspect="1"/>
                    </pic:cNvPicPr>
                  </pic:nvPicPr>
                  <pic:blipFill>
                    <a:blip r:embed="rId7"/>
                    <a:stretch>
                      <a:fillRect/>
                    </a:stretch>
                  </pic:blipFill>
                  <pic:spPr>
                    <a:xfrm>
                      <a:off x="0" y="0"/>
                      <a:ext cx="5273675" cy="3728720"/>
                    </a:xfrm>
                    <a:prstGeom prst="rect">
                      <a:avLst/>
                    </a:prstGeom>
                  </pic:spPr>
                </pic:pic>
              </a:graphicData>
            </a:graphic>
          </wp:anchor>
        </w:drawing>
      </w:r>
    </w:p>
    <w:p>
      <w:pPr>
        <w:pStyle w:val="12"/>
        <w:wordWrap w:val="0"/>
        <w:spacing w:before="0" w:beforeAutospacing="0" w:after="0" w:afterAutospacing="0" w:line="600" w:lineRule="exact"/>
        <w:jc w:val="center"/>
        <w:rPr>
          <w:rFonts w:hint="default" w:ascii="Times New Roman" w:hAnsi="Times New Roman" w:eastAsia="Arial Unicode MS" w:cs="Times New Roman"/>
          <w:b w:val="0"/>
          <w:bCs w:val="0"/>
          <w:sz w:val="44"/>
          <w:szCs w:val="44"/>
        </w:rPr>
      </w:pPr>
    </w:p>
    <w:p>
      <w:pPr>
        <w:pStyle w:val="12"/>
        <w:wordWrap w:val="0"/>
        <w:spacing w:before="0" w:beforeAutospacing="0" w:after="0" w:afterAutospacing="0" w:line="600" w:lineRule="exact"/>
        <w:jc w:val="center"/>
        <w:rPr>
          <w:rFonts w:hint="default" w:ascii="Times New Roman" w:hAnsi="Times New Roman" w:eastAsia="Arial Unicode MS" w:cs="Times New Roman"/>
          <w:b w:val="0"/>
          <w:bCs w:val="0"/>
          <w:sz w:val="44"/>
          <w:szCs w:val="44"/>
        </w:rPr>
      </w:pPr>
    </w:p>
    <w:p>
      <w:pPr>
        <w:pStyle w:val="12"/>
        <w:wordWrap w:val="0"/>
        <w:spacing w:before="0" w:beforeAutospacing="0" w:after="0" w:afterAutospacing="0" w:line="600" w:lineRule="exact"/>
        <w:jc w:val="center"/>
        <w:rPr>
          <w:rFonts w:hint="default" w:ascii="Times New Roman" w:hAnsi="Times New Roman" w:eastAsia="Arial Unicode MS" w:cs="Times New Roman"/>
          <w:b w:val="0"/>
          <w:bCs w:val="0"/>
          <w:sz w:val="44"/>
          <w:szCs w:val="44"/>
        </w:rPr>
      </w:pPr>
    </w:p>
    <w:p>
      <w:pPr>
        <w:pStyle w:val="12"/>
        <w:wordWrap w:val="0"/>
        <w:spacing w:before="0" w:beforeAutospacing="0" w:after="0" w:afterAutospacing="0" w:line="600" w:lineRule="exact"/>
        <w:jc w:val="center"/>
        <w:rPr>
          <w:rFonts w:hint="default" w:ascii="Times New Roman" w:hAnsi="Times New Roman" w:eastAsia="Arial Unicode MS" w:cs="Times New Roman"/>
          <w:b w:val="0"/>
          <w:bCs w:val="0"/>
          <w:sz w:val="44"/>
          <w:szCs w:val="44"/>
        </w:rPr>
      </w:pPr>
    </w:p>
    <w:p>
      <w:pPr>
        <w:pStyle w:val="12"/>
        <w:wordWrap w:val="0"/>
        <w:spacing w:before="0" w:beforeAutospacing="0" w:after="0" w:afterAutospacing="0" w:line="600" w:lineRule="exact"/>
        <w:jc w:val="center"/>
        <w:rPr>
          <w:rFonts w:hint="default" w:ascii="Times New Roman" w:hAnsi="Times New Roman" w:eastAsia="Arial Unicode MS" w:cs="Times New Roman"/>
          <w:b w:val="0"/>
          <w:bCs w:val="0"/>
          <w:sz w:val="44"/>
          <w:szCs w:val="44"/>
        </w:rPr>
      </w:pPr>
    </w:p>
    <w:p>
      <w:pPr>
        <w:pStyle w:val="12"/>
        <w:wordWrap w:val="0"/>
        <w:spacing w:before="0" w:beforeAutospacing="0" w:after="0" w:afterAutospacing="0" w:line="600" w:lineRule="exact"/>
        <w:jc w:val="both"/>
        <w:rPr>
          <w:rFonts w:hint="default" w:ascii="Times New Roman" w:hAnsi="Times New Roman" w:eastAsia="黑体" w:cs="Times New Roman"/>
          <w:b w:val="0"/>
          <w:bCs w:val="0"/>
          <w:sz w:val="32"/>
          <w:szCs w:val="32"/>
        </w:rPr>
      </w:pPr>
    </w:p>
    <w:p>
      <w:pPr>
        <w:pStyle w:val="12"/>
        <w:wordWrap w:val="0"/>
        <w:spacing w:before="0" w:beforeAutospacing="0" w:after="0" w:afterAutospacing="0" w:line="600" w:lineRule="exact"/>
        <w:jc w:val="both"/>
        <w:rPr>
          <w:rFonts w:hint="default" w:ascii="Times New Roman" w:hAnsi="Times New Roman" w:eastAsia="黑体" w:cs="Times New Roman"/>
          <w:b w:val="0"/>
          <w:bCs w:val="0"/>
          <w:sz w:val="32"/>
          <w:szCs w:val="32"/>
        </w:rPr>
      </w:pPr>
    </w:p>
    <w:p>
      <w:pPr>
        <w:pStyle w:val="12"/>
        <w:wordWrap w:val="0"/>
        <w:spacing w:before="0" w:beforeAutospacing="0" w:after="0" w:afterAutospacing="0" w:line="600" w:lineRule="exact"/>
        <w:jc w:val="both"/>
        <w:rPr>
          <w:rFonts w:hint="default" w:ascii="Times New Roman" w:hAnsi="Times New Roman" w:eastAsia="黑体" w:cs="Times New Roman"/>
          <w:b w:val="0"/>
          <w:bCs w:val="0"/>
          <w:sz w:val="32"/>
          <w:szCs w:val="32"/>
        </w:rPr>
      </w:pPr>
    </w:p>
    <w:p>
      <w:pPr>
        <w:pStyle w:val="12"/>
        <w:wordWrap w:val="0"/>
        <w:spacing w:before="0" w:beforeAutospacing="0" w:after="0" w:afterAutospacing="0" w:line="600" w:lineRule="exact"/>
        <w:jc w:val="both"/>
        <w:rPr>
          <w:rFonts w:hint="default" w:ascii="Times New Roman" w:hAnsi="Times New Roman" w:eastAsia="黑体" w:cs="Times New Roman"/>
          <w:b w:val="0"/>
          <w:bCs w:val="0"/>
          <w:sz w:val="32"/>
          <w:szCs w:val="32"/>
        </w:rPr>
      </w:pPr>
    </w:p>
    <w:p>
      <w:pPr>
        <w:pStyle w:val="12"/>
        <w:wordWrap w:val="0"/>
        <w:spacing w:before="0" w:beforeAutospacing="0" w:after="0" w:afterAutospacing="0" w:line="600" w:lineRule="exact"/>
        <w:jc w:val="both"/>
        <w:rPr>
          <w:rFonts w:hint="default" w:ascii="Times New Roman" w:hAnsi="Times New Roman" w:eastAsia="黑体" w:cs="Times New Roman"/>
          <w:b w:val="0"/>
          <w:bCs w:val="0"/>
          <w:sz w:val="32"/>
          <w:szCs w:val="32"/>
        </w:rPr>
      </w:pPr>
      <w:r>
        <w:rPr>
          <w:rFonts w:hint="eastAsia" w:ascii="Times New Roman" w:hAnsi="Times New Roman" w:eastAsia="黑体" w:cs="Times New Roman"/>
          <w:b w:val="0"/>
          <w:bCs w:val="0"/>
          <w:sz w:val="32"/>
          <w:szCs w:val="32"/>
          <w:lang w:eastAsia="zh-CN"/>
        </w:rPr>
        <w:drawing>
          <wp:anchor distT="0" distB="0" distL="114300" distR="114300" simplePos="0" relativeHeight="251662336" behindDoc="0" locked="0" layoutInCell="1" allowOverlap="1">
            <wp:simplePos x="0" y="0"/>
            <wp:positionH relativeFrom="column">
              <wp:posOffset>-45720</wp:posOffset>
            </wp:positionH>
            <wp:positionV relativeFrom="paragraph">
              <wp:posOffset>308610</wp:posOffset>
            </wp:positionV>
            <wp:extent cx="5260340" cy="3722370"/>
            <wp:effectExtent l="0" t="0" r="10160" b="11430"/>
            <wp:wrapNone/>
            <wp:docPr id="2" name="图片 2" descr="贵州省七大工作分区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贵州省七大工作分区图"/>
                    <pic:cNvPicPr>
                      <a:picLocks noChangeAspect="1"/>
                    </pic:cNvPicPr>
                  </pic:nvPicPr>
                  <pic:blipFill>
                    <a:blip r:embed="rId8"/>
                    <a:stretch>
                      <a:fillRect/>
                    </a:stretch>
                  </pic:blipFill>
                  <pic:spPr>
                    <a:xfrm>
                      <a:off x="0" y="0"/>
                      <a:ext cx="5260340" cy="3722370"/>
                    </a:xfrm>
                    <a:prstGeom prst="rect">
                      <a:avLst/>
                    </a:prstGeom>
                  </pic:spPr>
                </pic:pic>
              </a:graphicData>
            </a:graphic>
          </wp:anchor>
        </w:drawing>
      </w:r>
    </w:p>
    <w:p>
      <w:pPr>
        <w:wordWrap w:val="0"/>
        <w:spacing w:line="600" w:lineRule="exact"/>
        <w:rPr>
          <w:rFonts w:hint="eastAsia" w:ascii="Times New Roman" w:hAnsi="Times New Roman" w:eastAsia="黑体" w:cs="Times New Roman"/>
          <w:b w:val="0"/>
          <w:bCs w:val="0"/>
          <w:sz w:val="32"/>
          <w:szCs w:val="32"/>
          <w:lang w:eastAsia="zh-CN"/>
        </w:rPr>
      </w:pPr>
    </w:p>
    <w:p>
      <w:pPr>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br w:type="page"/>
      </w:r>
    </w:p>
    <w:p>
      <w:pPr>
        <w:wordWrap w:val="0"/>
        <w:spacing w:line="600" w:lineRule="exact"/>
        <w:rPr>
          <w:rFonts w:hint="eastAsia" w:ascii="黑体" w:hAnsi="黑体" w:eastAsia="黑体" w:cs="黑体"/>
          <w:b w:val="0"/>
          <w:bCs w:val="0"/>
          <w:lang w:val="en-US" w:eastAsia="zh-CN"/>
        </w:rPr>
      </w:pPr>
      <w:r>
        <w:rPr>
          <w:rFonts w:hint="eastAsia" w:ascii="黑体" w:hAnsi="黑体" w:eastAsia="黑体" w:cs="黑体"/>
          <w:b w:val="0"/>
          <w:bCs w:val="0"/>
          <w:sz w:val="32"/>
          <w:szCs w:val="32"/>
        </w:rPr>
        <w:t>附件2</w:t>
      </w:r>
    </w:p>
    <w:p>
      <w:pPr>
        <w:wordWrap w:val="0"/>
        <w:spacing w:line="600" w:lineRule="exact"/>
        <w:jc w:val="center"/>
        <w:rPr>
          <w:rFonts w:hint="default" w:ascii="Times New Roman" w:hAnsi="Times New Roman" w:eastAsia="方正小标宋_GBK" w:cs="Times New Roman"/>
          <w:b w:val="0"/>
          <w:bCs w:val="0"/>
          <w:kern w:val="0"/>
          <w:sz w:val="44"/>
          <w:szCs w:val="44"/>
        </w:rPr>
      </w:pPr>
    </w:p>
    <w:p>
      <w:pPr>
        <w:wordWrap w:val="0"/>
        <w:spacing w:line="600" w:lineRule="exact"/>
        <w:jc w:val="center"/>
        <w:rPr>
          <w:rFonts w:hint="default" w:ascii="Times New Roman" w:hAnsi="Times New Roman" w:eastAsia="方正小标宋_GBK" w:cs="Times New Roman"/>
          <w:b w:val="0"/>
          <w:bCs w:val="0"/>
          <w:kern w:val="0"/>
          <w:sz w:val="44"/>
          <w:szCs w:val="44"/>
        </w:rPr>
      </w:pPr>
      <w:r>
        <w:rPr>
          <w:rFonts w:hint="default" w:ascii="Times New Roman" w:hAnsi="Times New Roman" w:eastAsia="方正小标宋_GBK" w:cs="Times New Roman"/>
          <w:b w:val="0"/>
          <w:bCs w:val="0"/>
          <w:kern w:val="0"/>
          <w:sz w:val="44"/>
          <w:szCs w:val="44"/>
        </w:rPr>
        <w:t>贵州省生态环境管控单元汇总表</w:t>
      </w:r>
    </w:p>
    <w:p>
      <w:pPr>
        <w:wordWrap w:val="0"/>
        <w:spacing w:line="600" w:lineRule="exact"/>
        <w:jc w:val="center"/>
        <w:rPr>
          <w:rFonts w:hint="default" w:ascii="Times New Roman" w:hAnsi="Times New Roman" w:eastAsia="方正小标宋_GBK" w:cs="Times New Roman"/>
          <w:b w:val="0"/>
          <w:bCs w:val="0"/>
          <w:kern w:val="0"/>
          <w:sz w:val="44"/>
          <w:szCs w:val="44"/>
        </w:rPr>
      </w:pP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1628"/>
        <w:gridCol w:w="1212"/>
        <w:gridCol w:w="1655"/>
        <w:gridCol w:w="1655"/>
        <w:gridCol w:w="16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417"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仿宋" w:cs="Times New Roman"/>
                <w:b w:val="0"/>
                <w:bCs w:val="0"/>
                <w:kern w:val="0"/>
                <w:sz w:val="24"/>
                <w:lang w:bidi="ar"/>
              </w:rPr>
            </w:pPr>
            <w:r>
              <w:rPr>
                <w:rFonts w:hint="default" w:ascii="Times New Roman" w:hAnsi="Times New Roman" w:eastAsia="仿宋" w:cs="Times New Roman"/>
                <w:b w:val="0"/>
                <w:bCs w:val="0"/>
                <w:kern w:val="0"/>
                <w:sz w:val="24"/>
                <w:lang w:bidi="ar"/>
              </w:rPr>
              <w:t>序号</w:t>
            </w:r>
          </w:p>
        </w:tc>
        <w:tc>
          <w:tcPr>
            <w:tcW w:w="954"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仿宋" w:cs="Times New Roman"/>
                <w:b w:val="0"/>
                <w:bCs w:val="0"/>
                <w:kern w:val="0"/>
                <w:sz w:val="24"/>
                <w:lang w:bidi="ar"/>
              </w:rPr>
            </w:pPr>
            <w:r>
              <w:rPr>
                <w:rFonts w:hint="default" w:ascii="Times New Roman" w:hAnsi="Times New Roman" w:eastAsia="仿宋" w:cs="Times New Roman"/>
                <w:b w:val="0"/>
                <w:bCs w:val="0"/>
                <w:kern w:val="0"/>
                <w:sz w:val="24"/>
                <w:lang w:bidi="ar"/>
              </w:rPr>
              <w:t>行政区</w:t>
            </w:r>
          </w:p>
        </w:tc>
        <w:tc>
          <w:tcPr>
            <w:tcW w:w="711"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仿宋" w:cs="Times New Roman"/>
                <w:b w:val="0"/>
                <w:bCs w:val="0"/>
                <w:kern w:val="0"/>
                <w:sz w:val="24"/>
                <w:lang w:bidi="ar"/>
              </w:rPr>
            </w:pPr>
            <w:r>
              <w:rPr>
                <w:rFonts w:hint="default" w:ascii="Times New Roman" w:hAnsi="Times New Roman" w:eastAsia="仿宋" w:cs="Times New Roman"/>
                <w:b w:val="0"/>
                <w:bCs w:val="0"/>
                <w:kern w:val="0"/>
                <w:sz w:val="24"/>
                <w:lang w:bidi="ar"/>
              </w:rPr>
              <w:t>单元总数</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仿宋" w:cs="Times New Roman"/>
                <w:b w:val="0"/>
                <w:bCs w:val="0"/>
                <w:kern w:val="0"/>
                <w:sz w:val="24"/>
                <w:lang w:bidi="ar"/>
              </w:rPr>
            </w:pPr>
            <w:r>
              <w:rPr>
                <w:rFonts w:hint="default" w:ascii="Times New Roman" w:hAnsi="Times New Roman" w:eastAsia="仿宋" w:cs="Times New Roman"/>
                <w:b w:val="0"/>
                <w:bCs w:val="0"/>
                <w:kern w:val="0"/>
                <w:sz w:val="24"/>
                <w:lang w:bidi="ar"/>
              </w:rPr>
              <w:t>（个）</w:t>
            </w:r>
          </w:p>
        </w:tc>
        <w:tc>
          <w:tcPr>
            <w:tcW w:w="971"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仿宋" w:cs="Times New Roman"/>
                <w:b w:val="0"/>
                <w:bCs w:val="0"/>
                <w:kern w:val="0"/>
                <w:sz w:val="24"/>
                <w:lang w:bidi="ar"/>
              </w:rPr>
            </w:pPr>
            <w:r>
              <w:rPr>
                <w:rFonts w:hint="default" w:ascii="Times New Roman" w:hAnsi="Times New Roman" w:eastAsia="仿宋" w:cs="Times New Roman"/>
                <w:b w:val="0"/>
                <w:bCs w:val="0"/>
                <w:kern w:val="0"/>
                <w:sz w:val="24"/>
                <w:lang w:bidi="ar"/>
              </w:rPr>
              <w:t>优先保护单元（个）</w:t>
            </w:r>
          </w:p>
        </w:tc>
        <w:tc>
          <w:tcPr>
            <w:tcW w:w="971"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仿宋" w:cs="Times New Roman"/>
                <w:b w:val="0"/>
                <w:bCs w:val="0"/>
                <w:kern w:val="0"/>
                <w:sz w:val="24"/>
                <w:lang w:bidi="ar"/>
              </w:rPr>
            </w:pPr>
            <w:r>
              <w:rPr>
                <w:rFonts w:hint="default" w:ascii="Times New Roman" w:hAnsi="Times New Roman" w:eastAsia="仿宋" w:cs="Times New Roman"/>
                <w:b w:val="0"/>
                <w:bCs w:val="0"/>
                <w:kern w:val="0"/>
                <w:sz w:val="24"/>
                <w:lang w:bidi="ar"/>
              </w:rPr>
              <w:t>重点管控单元（个）</w:t>
            </w:r>
          </w:p>
        </w:tc>
        <w:tc>
          <w:tcPr>
            <w:tcW w:w="972"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仿宋" w:cs="Times New Roman"/>
                <w:b w:val="0"/>
                <w:bCs w:val="0"/>
                <w:kern w:val="0"/>
                <w:sz w:val="24"/>
                <w:lang w:bidi="ar"/>
              </w:rPr>
            </w:pPr>
            <w:r>
              <w:rPr>
                <w:rFonts w:hint="default" w:ascii="Times New Roman" w:hAnsi="Times New Roman" w:eastAsia="仿宋" w:cs="Times New Roman"/>
                <w:b w:val="0"/>
                <w:bCs w:val="0"/>
                <w:kern w:val="0"/>
                <w:sz w:val="24"/>
                <w:lang w:bidi="ar"/>
              </w:rPr>
              <w:t>一般管控单元（个）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w:t>
            </w:r>
          </w:p>
        </w:tc>
        <w:tc>
          <w:tcPr>
            <w:tcW w:w="954" w:type="pct"/>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贵阳市</w:t>
            </w:r>
          </w:p>
        </w:tc>
        <w:tc>
          <w:tcPr>
            <w:tcW w:w="711" w:type="pct"/>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134</w:t>
            </w:r>
          </w:p>
        </w:tc>
        <w:tc>
          <w:tcPr>
            <w:tcW w:w="971" w:type="pct"/>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80</w:t>
            </w:r>
          </w:p>
        </w:tc>
        <w:tc>
          <w:tcPr>
            <w:tcW w:w="971" w:type="pct"/>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44</w:t>
            </w:r>
          </w:p>
        </w:tc>
        <w:tc>
          <w:tcPr>
            <w:tcW w:w="972" w:type="pct"/>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w:t>
            </w:r>
          </w:p>
        </w:tc>
        <w:tc>
          <w:tcPr>
            <w:tcW w:w="954"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遵义市</w:t>
            </w:r>
          </w:p>
        </w:tc>
        <w:tc>
          <w:tcPr>
            <w:tcW w:w="71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223</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147</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62</w:t>
            </w:r>
          </w:p>
        </w:tc>
        <w:tc>
          <w:tcPr>
            <w:tcW w:w="972"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7"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w:t>
            </w:r>
          </w:p>
        </w:tc>
        <w:tc>
          <w:tcPr>
            <w:tcW w:w="954"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六盘水市</w:t>
            </w:r>
          </w:p>
        </w:tc>
        <w:tc>
          <w:tcPr>
            <w:tcW w:w="71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88</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38</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39</w:t>
            </w:r>
          </w:p>
        </w:tc>
        <w:tc>
          <w:tcPr>
            <w:tcW w:w="972"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7"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w:t>
            </w:r>
          </w:p>
        </w:tc>
        <w:tc>
          <w:tcPr>
            <w:tcW w:w="954"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安顺市</w:t>
            </w:r>
          </w:p>
        </w:tc>
        <w:tc>
          <w:tcPr>
            <w:tcW w:w="71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104</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45</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42</w:t>
            </w:r>
          </w:p>
        </w:tc>
        <w:tc>
          <w:tcPr>
            <w:tcW w:w="972"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7"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w:t>
            </w:r>
          </w:p>
        </w:tc>
        <w:tc>
          <w:tcPr>
            <w:tcW w:w="954"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毕节市</w:t>
            </w:r>
          </w:p>
        </w:tc>
        <w:tc>
          <w:tcPr>
            <w:tcW w:w="71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125</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84</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33</w:t>
            </w:r>
          </w:p>
        </w:tc>
        <w:tc>
          <w:tcPr>
            <w:tcW w:w="972"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7"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6</w:t>
            </w:r>
          </w:p>
        </w:tc>
        <w:tc>
          <w:tcPr>
            <w:tcW w:w="954"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铜仁市</w:t>
            </w:r>
          </w:p>
        </w:tc>
        <w:tc>
          <w:tcPr>
            <w:tcW w:w="71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157</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101</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46</w:t>
            </w:r>
          </w:p>
        </w:tc>
        <w:tc>
          <w:tcPr>
            <w:tcW w:w="972"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7</w:t>
            </w:r>
          </w:p>
        </w:tc>
        <w:tc>
          <w:tcPr>
            <w:tcW w:w="954" w:type="pct"/>
            <w:shd w:val="clear" w:color="auto" w:fill="auto"/>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黔东南州</w:t>
            </w:r>
          </w:p>
        </w:tc>
        <w:tc>
          <w:tcPr>
            <w:tcW w:w="71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209</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135</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58</w:t>
            </w:r>
          </w:p>
        </w:tc>
        <w:tc>
          <w:tcPr>
            <w:tcW w:w="972"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8</w:t>
            </w:r>
          </w:p>
        </w:tc>
        <w:tc>
          <w:tcPr>
            <w:tcW w:w="954" w:type="pct"/>
            <w:shd w:val="clear" w:color="auto" w:fill="auto"/>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黔南州</w:t>
            </w:r>
          </w:p>
        </w:tc>
        <w:tc>
          <w:tcPr>
            <w:tcW w:w="71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167</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101</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54</w:t>
            </w:r>
          </w:p>
        </w:tc>
        <w:tc>
          <w:tcPr>
            <w:tcW w:w="972"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9</w:t>
            </w:r>
          </w:p>
        </w:tc>
        <w:tc>
          <w:tcPr>
            <w:tcW w:w="954" w:type="pct"/>
            <w:shd w:val="clear" w:color="auto" w:fill="auto"/>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黔西南州</w:t>
            </w:r>
          </w:p>
        </w:tc>
        <w:tc>
          <w:tcPr>
            <w:tcW w:w="71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153</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79</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51</w:t>
            </w:r>
          </w:p>
        </w:tc>
        <w:tc>
          <w:tcPr>
            <w:tcW w:w="972"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10</w:t>
            </w:r>
          </w:p>
        </w:tc>
        <w:tc>
          <w:tcPr>
            <w:tcW w:w="954"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贵安新区</w:t>
            </w:r>
          </w:p>
        </w:tc>
        <w:tc>
          <w:tcPr>
            <w:tcW w:w="71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16</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9</w:t>
            </w:r>
          </w:p>
        </w:tc>
        <w:tc>
          <w:tcPr>
            <w:tcW w:w="971"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6</w:t>
            </w:r>
          </w:p>
        </w:tc>
        <w:tc>
          <w:tcPr>
            <w:tcW w:w="972" w:type="pct"/>
            <w:shd w:val="clear" w:color="auto" w:fill="auto"/>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72" w:type="pct"/>
            <w:gridSpan w:val="2"/>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 w:val="24"/>
                <w:lang w:bidi="ar"/>
              </w:rPr>
              <w:t>全省合计</w:t>
            </w:r>
          </w:p>
        </w:tc>
        <w:tc>
          <w:tcPr>
            <w:tcW w:w="711" w:type="pct"/>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1376</w:t>
            </w:r>
          </w:p>
        </w:tc>
        <w:tc>
          <w:tcPr>
            <w:tcW w:w="971" w:type="pct"/>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819</w:t>
            </w:r>
          </w:p>
        </w:tc>
        <w:tc>
          <w:tcPr>
            <w:tcW w:w="971" w:type="pct"/>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435</w:t>
            </w:r>
          </w:p>
        </w:tc>
        <w:tc>
          <w:tcPr>
            <w:tcW w:w="972" w:type="pct"/>
            <w:vAlign w:val="center"/>
          </w:tcPr>
          <w:p>
            <w:pPr>
              <w:widowControl/>
              <w:adjustRightInd w:val="0"/>
              <w:snapToGrid w:val="0"/>
              <w:spacing w:line="52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122</w:t>
            </w:r>
          </w:p>
        </w:tc>
      </w:tr>
    </w:tbl>
    <w:p>
      <w:pPr>
        <w:wordWrap w:val="0"/>
        <w:rPr>
          <w:rFonts w:hint="default" w:ascii="Times New Roman" w:hAnsi="Times New Roman" w:cs="Times New Roman"/>
          <w:b w:val="0"/>
          <w:bCs w:val="0"/>
          <w:sz w:val="48"/>
          <w:szCs w:val="48"/>
        </w:rPr>
      </w:pPr>
    </w:p>
    <w:p>
      <w:pPr>
        <w:widowControl/>
        <w:wordWrap w:val="0"/>
        <w:adjustRightInd w:val="0"/>
        <w:snapToGrid w:val="0"/>
        <w:spacing w:line="360" w:lineRule="auto"/>
        <w:jc w:val="center"/>
        <w:rPr>
          <w:rFonts w:hint="default" w:ascii="Times New Roman" w:hAnsi="Times New Roman" w:eastAsia="Arial Unicode MS" w:cs="Times New Roman"/>
          <w:b w:val="0"/>
          <w:bCs w:val="0"/>
          <w:sz w:val="44"/>
          <w:szCs w:val="44"/>
          <w:lang w:bidi="en-US"/>
        </w:rPr>
      </w:pPr>
      <w:bookmarkStart w:id="0" w:name="_Toc13840"/>
      <w:bookmarkStart w:id="1" w:name="_Toc11451"/>
      <w:bookmarkStart w:id="2" w:name="_Toc6927"/>
      <w:bookmarkStart w:id="3" w:name="_Toc28471"/>
      <w:bookmarkStart w:id="4" w:name="_Toc5729"/>
    </w:p>
    <w:p>
      <w:pPr>
        <w:widowControl/>
        <w:wordWrap w:val="0"/>
        <w:adjustRightInd w:val="0"/>
        <w:snapToGrid w:val="0"/>
        <w:spacing w:line="360" w:lineRule="auto"/>
        <w:jc w:val="center"/>
        <w:rPr>
          <w:rFonts w:hint="default" w:ascii="Times New Roman" w:hAnsi="Times New Roman" w:eastAsia="Arial Unicode MS" w:cs="Times New Roman"/>
          <w:b w:val="0"/>
          <w:bCs w:val="0"/>
          <w:sz w:val="44"/>
          <w:szCs w:val="44"/>
          <w:lang w:bidi="en-US"/>
        </w:rPr>
      </w:pPr>
    </w:p>
    <w:bookmarkEnd w:id="0"/>
    <w:bookmarkEnd w:id="1"/>
    <w:bookmarkEnd w:id="2"/>
    <w:bookmarkEnd w:id="3"/>
    <w:bookmarkEnd w:id="4"/>
    <w:p>
      <w:pPr>
        <w:wordWrap w:val="0"/>
        <w:rPr>
          <w:rFonts w:hint="default" w:ascii="Times New Roman" w:hAnsi="Times New Roman" w:eastAsia="黑体" w:cs="Times New Roman"/>
          <w:b w:val="0"/>
          <w:bCs w:val="0"/>
          <w:sz w:val="32"/>
          <w:szCs w:val="32"/>
        </w:rPr>
        <w:sectPr>
          <w:footerReference r:id="rId3" w:type="default"/>
          <w:pgSz w:w="11906" w:h="16838"/>
          <w:pgMar w:top="1440" w:right="1800" w:bottom="1440" w:left="1800" w:header="851" w:footer="992" w:gutter="0"/>
          <w:pgNumType w:fmt="decimal" w:start="1"/>
          <w:cols w:space="720" w:num="1"/>
          <w:docGrid w:type="lines" w:linePitch="312" w:charSpace="0"/>
        </w:sectPr>
      </w:pPr>
    </w:p>
    <w:p>
      <w:pPr>
        <w:wordWrap w:val="0"/>
        <w:rPr>
          <w:rFonts w:hint="eastAsia" w:ascii="黑体" w:hAnsi="黑体" w:eastAsia="黑体" w:cs="黑体"/>
          <w:b w:val="0"/>
          <w:bCs w:val="0"/>
        </w:rPr>
      </w:pPr>
      <w:r>
        <w:rPr>
          <w:rFonts w:hint="eastAsia" w:ascii="黑体" w:hAnsi="黑体" w:eastAsia="黑体" w:cs="黑体"/>
          <w:b w:val="0"/>
          <w:bCs w:val="0"/>
          <w:sz w:val="32"/>
          <w:szCs w:val="32"/>
        </w:rPr>
        <w:t>附件3</w:t>
      </w:r>
    </w:p>
    <w:p>
      <w:pPr>
        <w:wordWrap w:val="0"/>
        <w:spacing w:line="600" w:lineRule="exact"/>
        <w:jc w:val="center"/>
        <w:rPr>
          <w:rFonts w:hint="default" w:ascii="Times New Roman" w:hAnsi="Times New Roman" w:eastAsia="方正小标宋_GBK" w:cs="Times New Roman"/>
          <w:b w:val="0"/>
          <w:bCs w:val="0"/>
          <w:kern w:val="0"/>
          <w:sz w:val="44"/>
          <w:szCs w:val="44"/>
        </w:rPr>
      </w:pPr>
    </w:p>
    <w:p>
      <w:pPr>
        <w:wordWrap w:val="0"/>
        <w:spacing w:line="600" w:lineRule="exact"/>
        <w:jc w:val="center"/>
        <w:rPr>
          <w:rFonts w:hint="default" w:ascii="Times New Roman" w:hAnsi="Times New Roman" w:eastAsia="方正小标宋_GBK" w:cs="Times New Roman"/>
          <w:b w:val="0"/>
          <w:bCs w:val="0"/>
          <w:lang w:eastAsia="zh-CN"/>
        </w:rPr>
      </w:pPr>
      <w:r>
        <w:rPr>
          <w:rFonts w:hint="default" w:ascii="Times New Roman" w:hAnsi="Times New Roman" w:eastAsia="方正小标宋_GBK" w:cs="Times New Roman"/>
          <w:b w:val="0"/>
          <w:bCs w:val="0"/>
          <w:kern w:val="0"/>
          <w:sz w:val="44"/>
          <w:szCs w:val="44"/>
        </w:rPr>
        <w:t>贵州省生态环境分区管控</w:t>
      </w:r>
      <w:r>
        <w:rPr>
          <w:rFonts w:hint="default" w:ascii="Times New Roman" w:hAnsi="Times New Roman" w:eastAsia="方正小标宋_GBK" w:cs="Times New Roman"/>
          <w:b w:val="0"/>
          <w:bCs w:val="0"/>
          <w:kern w:val="0"/>
          <w:sz w:val="44"/>
          <w:szCs w:val="44"/>
          <w:lang w:val="en-US" w:eastAsia="zh-CN"/>
        </w:rPr>
        <w:t>要求</w:t>
      </w:r>
    </w:p>
    <w:sdt>
      <w:sdtPr>
        <w:rPr>
          <w:rFonts w:hint="default" w:ascii="Times New Roman" w:hAnsi="Times New Roman" w:cs="Times New Roman"/>
          <w:b w:val="0"/>
          <w:bCs w:val="0"/>
        </w:rPr>
        <w:id w:val="147459036"/>
        <w15:color w:val="DBDBDB"/>
        <w:docPartObj>
          <w:docPartGallery w:val="Table of Contents"/>
          <w:docPartUnique/>
        </w:docPartObj>
      </w:sdtPr>
      <w:sdtEndPr>
        <w:rPr>
          <w:rFonts w:hint="default" w:ascii="Times New Roman" w:hAnsi="Times New Roman" w:eastAsia="仿宋_GB2312" w:cs="Times New Roman"/>
          <w:b w:val="0"/>
          <w:bCs w:val="0"/>
          <w:szCs w:val="32"/>
        </w:rPr>
      </w:sdtEndPr>
      <w:sdtContent>
        <w:p>
          <w:pPr>
            <w:jc w:val="center"/>
            <w:rPr>
              <w:rFonts w:hint="default" w:ascii="Times New Roman" w:hAnsi="Times New Roman" w:cs="Times New Roman"/>
              <w:b w:val="0"/>
              <w:bCs w:val="0"/>
            </w:rPr>
          </w:pPr>
        </w:p>
        <w:p>
          <w:pPr>
            <w:pStyle w:val="20"/>
            <w:tabs>
              <w:tab w:val="right" w:leader="dot" w:pos="8306"/>
            </w:tabs>
            <w:rPr>
              <w:rFonts w:hint="default" w:ascii="Times New Roman" w:hAnsi="Times New Roman" w:cs="Times New Roman"/>
              <w:b w:val="0"/>
              <w:bCs w:val="0"/>
            </w:rPr>
          </w:pPr>
          <w:r>
            <w:rPr>
              <w:rFonts w:hint="default" w:ascii="Times New Roman" w:hAnsi="Times New Roman" w:eastAsia="仿宋_GB2312" w:cs="Times New Roman"/>
              <w:b w:val="0"/>
              <w:bCs w:val="0"/>
              <w:sz w:val="32"/>
              <w:szCs w:val="32"/>
            </w:rPr>
            <w:fldChar w:fldCharType="begin"/>
          </w:r>
          <w:r>
            <w:rPr>
              <w:rFonts w:hint="default" w:ascii="Times New Roman" w:hAnsi="Times New Roman" w:eastAsia="仿宋_GB2312" w:cs="Times New Roman"/>
              <w:b w:val="0"/>
              <w:bCs w:val="0"/>
              <w:sz w:val="32"/>
              <w:szCs w:val="32"/>
            </w:rPr>
            <w:instrText xml:space="preserve">TOC \o "1-1" \h \u </w:instrText>
          </w:r>
          <w:r>
            <w:rPr>
              <w:rFonts w:hint="default" w:ascii="Times New Roman" w:hAnsi="Times New Roman" w:eastAsia="仿宋_GB2312" w:cs="Times New Roman"/>
              <w:b w:val="0"/>
              <w:bCs w:val="0"/>
              <w:sz w:val="32"/>
              <w:szCs w:val="32"/>
            </w:rPr>
            <w:fldChar w:fldCharType="separate"/>
          </w:r>
        </w:p>
        <w:p>
          <w:pPr>
            <w:pStyle w:val="20"/>
            <w:tabs>
              <w:tab w:val="right" w:leader="dot" w:pos="8306"/>
            </w:tabs>
            <w:rPr>
              <w:rFonts w:hint="default" w:ascii="Times New Roman" w:hAnsi="Times New Roman" w:eastAsia="仿宋" w:cs="Times New Roman"/>
              <w:b w:val="0"/>
              <w:bCs w:val="0"/>
              <w:sz w:val="32"/>
              <w:szCs w:val="32"/>
            </w:rPr>
          </w:pPr>
          <w:r>
            <w:rPr>
              <w:rFonts w:hint="default" w:ascii="Times New Roman" w:hAnsi="Times New Roman" w:cs="Times New Roman"/>
              <w:b w:val="0"/>
              <w:bCs w:val="0"/>
            </w:rPr>
            <w:fldChar w:fldCharType="begin"/>
          </w:r>
          <w:r>
            <w:rPr>
              <w:rFonts w:hint="default" w:ascii="Times New Roman" w:hAnsi="Times New Roman" w:cs="Times New Roman"/>
              <w:b w:val="0"/>
              <w:bCs w:val="0"/>
            </w:rPr>
            <w:instrText xml:space="preserve"> HYPERLINK \l "_Toc513" </w:instrText>
          </w:r>
          <w:r>
            <w:rPr>
              <w:rFonts w:hint="default" w:ascii="Times New Roman" w:hAnsi="Times New Roman" w:cs="Times New Roman"/>
              <w:b w:val="0"/>
              <w:bCs w:val="0"/>
            </w:rPr>
            <w:fldChar w:fldCharType="separate"/>
          </w:r>
          <w:r>
            <w:rPr>
              <w:rFonts w:hint="default" w:ascii="Times New Roman" w:hAnsi="Times New Roman" w:eastAsia="仿宋" w:cs="Times New Roman"/>
              <w:b w:val="0"/>
              <w:bCs w:val="0"/>
              <w:sz w:val="32"/>
              <w:szCs w:val="32"/>
            </w:rPr>
            <w:t>1.全省总体管控要求</w:t>
          </w:r>
          <w:r>
            <w:rPr>
              <w:rFonts w:hint="default" w:ascii="Times New Roman" w:hAnsi="Times New Roman" w:eastAsia="仿宋" w:cs="Times New Roman"/>
              <w:b w:val="0"/>
              <w:bCs w:val="0"/>
              <w:sz w:val="32"/>
              <w:szCs w:val="32"/>
            </w:rPr>
            <w:tab/>
          </w:r>
          <w:r>
            <w:rPr>
              <w:rFonts w:hint="default" w:ascii="Times New Roman" w:hAnsi="Times New Roman" w:eastAsia="仿宋" w:cs="Times New Roman"/>
              <w:b w:val="0"/>
              <w:bCs w:val="0"/>
              <w:sz w:val="32"/>
              <w:szCs w:val="32"/>
            </w:rPr>
            <w:fldChar w:fldCharType="begin"/>
          </w:r>
          <w:r>
            <w:rPr>
              <w:rFonts w:hint="default" w:ascii="Times New Roman" w:hAnsi="Times New Roman" w:eastAsia="仿宋" w:cs="Times New Roman"/>
              <w:b w:val="0"/>
              <w:bCs w:val="0"/>
              <w:sz w:val="32"/>
              <w:szCs w:val="32"/>
            </w:rPr>
            <w:instrText xml:space="preserve"> PAGEREF _Toc513 \h </w:instrText>
          </w:r>
          <w:r>
            <w:rPr>
              <w:rFonts w:hint="default" w:ascii="Times New Roman" w:hAnsi="Times New Roman" w:eastAsia="仿宋" w:cs="Times New Roman"/>
              <w:b w:val="0"/>
              <w:bCs w:val="0"/>
              <w:sz w:val="32"/>
              <w:szCs w:val="32"/>
            </w:rPr>
            <w:fldChar w:fldCharType="separate"/>
          </w:r>
          <w:r>
            <w:rPr>
              <w:rFonts w:hint="default" w:ascii="Times New Roman" w:hAnsi="Times New Roman" w:eastAsia="仿宋" w:cs="Times New Roman"/>
              <w:b w:val="0"/>
              <w:bCs w:val="0"/>
              <w:sz w:val="32"/>
              <w:szCs w:val="32"/>
            </w:rPr>
            <w:t>5</w:t>
          </w:r>
          <w:r>
            <w:rPr>
              <w:rFonts w:hint="default" w:ascii="Times New Roman" w:hAnsi="Times New Roman" w:eastAsia="仿宋" w:cs="Times New Roman"/>
              <w:b w:val="0"/>
              <w:bCs w:val="0"/>
              <w:sz w:val="32"/>
              <w:szCs w:val="32"/>
            </w:rPr>
            <w:fldChar w:fldCharType="end"/>
          </w:r>
          <w:r>
            <w:rPr>
              <w:rFonts w:hint="default" w:ascii="Times New Roman" w:hAnsi="Times New Roman" w:eastAsia="仿宋" w:cs="Times New Roman"/>
              <w:b w:val="0"/>
              <w:bCs w:val="0"/>
              <w:sz w:val="32"/>
              <w:szCs w:val="32"/>
            </w:rPr>
            <w:fldChar w:fldCharType="end"/>
          </w:r>
        </w:p>
        <w:p>
          <w:pPr>
            <w:pStyle w:val="20"/>
            <w:tabs>
              <w:tab w:val="right" w:leader="dot" w:pos="8306"/>
            </w:tabs>
            <w:rPr>
              <w:rFonts w:hint="default" w:ascii="Times New Roman" w:hAnsi="Times New Roman" w:eastAsia="仿宋" w:cs="Times New Roman"/>
              <w:b w:val="0"/>
              <w:bCs w:val="0"/>
              <w:sz w:val="32"/>
              <w:szCs w:val="32"/>
            </w:rPr>
          </w:pPr>
          <w:r>
            <w:rPr>
              <w:rFonts w:hint="default" w:ascii="Times New Roman" w:hAnsi="Times New Roman" w:cs="Times New Roman"/>
              <w:b w:val="0"/>
              <w:bCs w:val="0"/>
            </w:rPr>
            <w:fldChar w:fldCharType="begin"/>
          </w:r>
          <w:r>
            <w:rPr>
              <w:rFonts w:hint="default" w:ascii="Times New Roman" w:hAnsi="Times New Roman" w:cs="Times New Roman"/>
              <w:b w:val="0"/>
              <w:bCs w:val="0"/>
            </w:rPr>
            <w:instrText xml:space="preserve"> HYPERLINK \l "_Toc15343" </w:instrText>
          </w:r>
          <w:r>
            <w:rPr>
              <w:rFonts w:hint="default" w:ascii="Times New Roman" w:hAnsi="Times New Roman" w:cs="Times New Roman"/>
              <w:b w:val="0"/>
              <w:bCs w:val="0"/>
            </w:rPr>
            <w:fldChar w:fldCharType="separate"/>
          </w:r>
          <w:r>
            <w:rPr>
              <w:rFonts w:hint="default" w:ascii="Times New Roman" w:hAnsi="Times New Roman" w:eastAsia="仿宋" w:cs="Times New Roman"/>
              <w:b w:val="0"/>
              <w:bCs w:val="0"/>
              <w:sz w:val="32"/>
              <w:szCs w:val="32"/>
            </w:rPr>
            <w:t>2.全省七大分区管控要求</w:t>
          </w:r>
          <w:r>
            <w:rPr>
              <w:rFonts w:hint="default" w:ascii="Times New Roman" w:hAnsi="Times New Roman" w:eastAsia="仿宋" w:cs="Times New Roman"/>
              <w:b w:val="0"/>
              <w:bCs w:val="0"/>
              <w:sz w:val="32"/>
              <w:szCs w:val="32"/>
            </w:rPr>
            <w:tab/>
          </w:r>
          <w:r>
            <w:rPr>
              <w:rFonts w:hint="default" w:ascii="Times New Roman" w:hAnsi="Times New Roman" w:eastAsia="仿宋" w:cs="Times New Roman"/>
              <w:b w:val="0"/>
              <w:bCs w:val="0"/>
              <w:sz w:val="32"/>
              <w:szCs w:val="32"/>
            </w:rPr>
            <w:t>1</w:t>
          </w:r>
          <w:r>
            <w:rPr>
              <w:rFonts w:hint="default" w:ascii="Times New Roman" w:hAnsi="Times New Roman" w:eastAsia="仿宋" w:cs="Times New Roman"/>
              <w:b w:val="0"/>
              <w:bCs w:val="0"/>
              <w:sz w:val="32"/>
              <w:szCs w:val="32"/>
            </w:rPr>
            <w:fldChar w:fldCharType="end"/>
          </w:r>
          <w:r>
            <w:rPr>
              <w:rFonts w:hint="default" w:ascii="Times New Roman" w:hAnsi="Times New Roman" w:eastAsia="仿宋" w:cs="Times New Roman"/>
              <w:b w:val="0"/>
              <w:bCs w:val="0"/>
              <w:sz w:val="32"/>
              <w:szCs w:val="32"/>
            </w:rPr>
            <w:t>7</w:t>
          </w:r>
        </w:p>
        <w:p>
          <w:pPr>
            <w:pStyle w:val="20"/>
            <w:tabs>
              <w:tab w:val="right" w:leader="dot" w:pos="8306"/>
            </w:tabs>
            <w:rPr>
              <w:rFonts w:hint="default" w:ascii="Times New Roman" w:hAnsi="Times New Roman" w:eastAsia="黑体" w:cs="Times New Roman"/>
              <w:b w:val="0"/>
              <w:bCs w:val="0"/>
              <w:sz w:val="32"/>
              <w:szCs w:val="32"/>
            </w:rPr>
          </w:pPr>
          <w:r>
            <w:rPr>
              <w:rFonts w:hint="default" w:ascii="Times New Roman" w:hAnsi="Times New Roman" w:cs="Times New Roman"/>
              <w:b w:val="0"/>
              <w:bCs w:val="0"/>
            </w:rPr>
            <w:fldChar w:fldCharType="begin"/>
          </w:r>
          <w:r>
            <w:rPr>
              <w:rFonts w:hint="default" w:ascii="Times New Roman" w:hAnsi="Times New Roman" w:cs="Times New Roman"/>
              <w:b w:val="0"/>
              <w:bCs w:val="0"/>
            </w:rPr>
            <w:instrText xml:space="preserve"> HYPERLINK \l "_Toc20563" </w:instrText>
          </w:r>
          <w:r>
            <w:rPr>
              <w:rFonts w:hint="default" w:ascii="Times New Roman" w:hAnsi="Times New Roman" w:cs="Times New Roman"/>
              <w:b w:val="0"/>
              <w:bCs w:val="0"/>
            </w:rPr>
            <w:fldChar w:fldCharType="separate"/>
          </w:r>
          <w:r>
            <w:rPr>
              <w:rFonts w:hint="default" w:ascii="Times New Roman" w:hAnsi="Times New Roman" w:eastAsia="仿宋" w:cs="Times New Roman"/>
              <w:b w:val="0"/>
              <w:bCs w:val="0"/>
              <w:sz w:val="32"/>
              <w:szCs w:val="32"/>
            </w:rPr>
            <w:t>3.全省各市（州）普适性管控要求</w:t>
          </w:r>
          <w:r>
            <w:rPr>
              <w:rFonts w:hint="default" w:ascii="Times New Roman" w:hAnsi="Times New Roman" w:eastAsia="仿宋" w:cs="Times New Roman"/>
              <w:b w:val="0"/>
              <w:bCs w:val="0"/>
              <w:sz w:val="32"/>
              <w:szCs w:val="32"/>
            </w:rPr>
            <w:tab/>
          </w:r>
          <w:r>
            <w:rPr>
              <w:rFonts w:hint="default" w:ascii="Times New Roman" w:hAnsi="Times New Roman" w:eastAsia="仿宋" w:cs="Times New Roman"/>
              <w:b w:val="0"/>
              <w:bCs w:val="0"/>
              <w:sz w:val="32"/>
              <w:szCs w:val="32"/>
            </w:rPr>
            <w:fldChar w:fldCharType="begin"/>
          </w:r>
          <w:r>
            <w:rPr>
              <w:rFonts w:hint="default" w:ascii="Times New Roman" w:hAnsi="Times New Roman" w:eastAsia="仿宋" w:cs="Times New Roman"/>
              <w:b w:val="0"/>
              <w:bCs w:val="0"/>
              <w:sz w:val="32"/>
              <w:szCs w:val="32"/>
            </w:rPr>
            <w:instrText xml:space="preserve"> PAGEREF _Toc20563 \h </w:instrText>
          </w:r>
          <w:r>
            <w:rPr>
              <w:rFonts w:hint="default" w:ascii="Times New Roman" w:hAnsi="Times New Roman" w:eastAsia="仿宋" w:cs="Times New Roman"/>
              <w:b w:val="0"/>
              <w:bCs w:val="0"/>
              <w:sz w:val="32"/>
              <w:szCs w:val="32"/>
            </w:rPr>
            <w:fldChar w:fldCharType="separate"/>
          </w:r>
          <w:r>
            <w:rPr>
              <w:rFonts w:hint="default" w:ascii="Times New Roman" w:hAnsi="Times New Roman" w:eastAsia="仿宋" w:cs="Times New Roman"/>
              <w:b w:val="0"/>
              <w:bCs w:val="0"/>
              <w:sz w:val="32"/>
              <w:szCs w:val="32"/>
            </w:rPr>
            <w:t>20</w:t>
          </w:r>
          <w:r>
            <w:rPr>
              <w:rFonts w:hint="default" w:ascii="Times New Roman" w:hAnsi="Times New Roman" w:eastAsia="仿宋" w:cs="Times New Roman"/>
              <w:b w:val="0"/>
              <w:bCs w:val="0"/>
              <w:sz w:val="32"/>
              <w:szCs w:val="32"/>
            </w:rPr>
            <w:fldChar w:fldCharType="end"/>
          </w:r>
          <w:r>
            <w:rPr>
              <w:rFonts w:hint="default" w:ascii="Times New Roman" w:hAnsi="Times New Roman" w:eastAsia="仿宋" w:cs="Times New Roman"/>
              <w:b w:val="0"/>
              <w:bCs w:val="0"/>
              <w:sz w:val="32"/>
              <w:szCs w:val="32"/>
            </w:rPr>
            <w:fldChar w:fldCharType="end"/>
          </w:r>
        </w:p>
        <w:p>
          <w:pPr>
            <w:wordWrap w:val="0"/>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Cs w:val="32"/>
            </w:rPr>
            <w:fldChar w:fldCharType="end"/>
          </w:r>
        </w:p>
      </w:sdtContent>
    </w:sdt>
    <w:p>
      <w:pPr>
        <w:numPr>
          <w:ilvl w:val="0"/>
          <w:numId w:val="2"/>
        </w:numPr>
        <w:wordWrap w:val="0"/>
        <w:rPr>
          <w:rFonts w:hint="default" w:ascii="Times New Roman" w:hAnsi="Times New Roman" w:eastAsia="仿宋_GB2312" w:cs="Times New Roman"/>
          <w:b w:val="0"/>
          <w:bCs w:val="0"/>
          <w:sz w:val="32"/>
          <w:szCs w:val="32"/>
        </w:rPr>
        <w:sectPr>
          <w:footerReference r:id="rId4" w:type="default"/>
          <w:pgSz w:w="11906" w:h="16838"/>
          <w:pgMar w:top="1440" w:right="1800" w:bottom="1440" w:left="1800" w:header="851" w:footer="992" w:gutter="0"/>
          <w:pgNumType w:fmt="decimal"/>
          <w:cols w:space="720" w:num="1"/>
          <w:docGrid w:type="lines" w:linePitch="312" w:charSpace="0"/>
        </w:sectPr>
      </w:pPr>
    </w:p>
    <w:p>
      <w:pPr>
        <w:wordWrap w:val="0"/>
        <w:spacing w:line="500" w:lineRule="exact"/>
        <w:outlineLvl w:val="0"/>
        <w:rPr>
          <w:rFonts w:hint="default" w:ascii="Times New Roman" w:hAnsi="Times New Roman" w:eastAsia="仿宋_GB2312" w:cs="Times New Roman"/>
          <w:b w:val="0"/>
          <w:bCs w:val="0"/>
          <w:sz w:val="32"/>
          <w:szCs w:val="32"/>
        </w:rPr>
      </w:pPr>
      <w:bookmarkStart w:id="5" w:name="_Toc513"/>
      <w:bookmarkStart w:id="6" w:name="_Toc15343"/>
      <w:r>
        <w:rPr>
          <w:rFonts w:hint="default" w:ascii="Times New Roman" w:hAnsi="Times New Roman" w:eastAsia="仿宋_GB2312" w:cs="Times New Roman"/>
          <w:b w:val="0"/>
          <w:bCs w:val="0"/>
          <w:sz w:val="32"/>
          <w:szCs w:val="32"/>
        </w:rPr>
        <w:t>1.全省总体管控要求</w:t>
      </w:r>
      <w:bookmarkEnd w:id="5"/>
    </w:p>
    <w:p>
      <w:pPr>
        <w:spacing w:line="5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表1.</w:t>
      </w:r>
      <w:bookmarkStart w:id="7" w:name="OLE_LINK4"/>
      <w:r>
        <w:rPr>
          <w:rFonts w:hint="default" w:ascii="Times New Roman" w:hAnsi="Times New Roman" w:cs="Times New Roman"/>
          <w:b w:val="0"/>
          <w:bCs w:val="0"/>
          <w:sz w:val="28"/>
          <w:szCs w:val="28"/>
        </w:rPr>
        <w:t>1全省总体管控要求表</w:t>
      </w:r>
      <w:bookmarkEnd w:id="7"/>
    </w:p>
    <w:tbl>
      <w:tblPr>
        <w:tblStyle w:val="14"/>
        <w:tblW w:w="4998" w:type="pc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0" w:type="dxa"/>
          <w:bottom w:w="0" w:type="dxa"/>
          <w:right w:w="0" w:type="dxa"/>
        </w:tblCellMar>
      </w:tblPr>
      <w:tblGrid>
        <w:gridCol w:w="1090"/>
        <w:gridCol w:w="744"/>
        <w:gridCol w:w="6639"/>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43" w:type="pct"/>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管控单元分类</w:t>
            </w:r>
          </w:p>
        </w:tc>
        <w:tc>
          <w:tcPr>
            <w:tcW w:w="439" w:type="pct"/>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管控类型</w:t>
            </w:r>
          </w:p>
        </w:tc>
        <w:tc>
          <w:tcPr>
            <w:tcW w:w="3917" w:type="pct"/>
            <w:tcMar>
              <w:top w:w="57" w:type="dxa"/>
              <w:left w:w="85" w:type="dxa"/>
              <w:bottom w:w="57" w:type="dxa"/>
              <w:right w:w="85" w:type="dxa"/>
            </w:tcMar>
            <w:vAlign w:val="center"/>
          </w:tcPr>
          <w:p>
            <w:pPr>
              <w:keepNext w:val="0"/>
              <w:keepLines w:val="0"/>
              <w:pageBreakBefore w:val="0"/>
              <w:widowControl/>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eastAsia="zh-CN" w:bidi="ar"/>
              </w:rPr>
              <w:t>管控</w:t>
            </w:r>
            <w:r>
              <w:rPr>
                <w:rFonts w:hint="default" w:ascii="Times New Roman" w:hAnsi="Times New Roman" w:eastAsia="仿宋" w:cs="Times New Roman"/>
                <w:b w:val="0"/>
                <w:bCs w:val="0"/>
                <w:kern w:val="0"/>
                <w:szCs w:val="21"/>
                <w:lang w:bidi="ar"/>
              </w:rPr>
              <w:t>要求</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2940" w:hRule="atLeast"/>
        </w:trPr>
        <w:tc>
          <w:tcPr>
            <w:tcW w:w="643" w:type="pct"/>
            <w:vMerge w:val="restart"/>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优先保护单元</w:t>
            </w:r>
          </w:p>
        </w:tc>
        <w:tc>
          <w:tcPr>
            <w:tcW w:w="439" w:type="pct"/>
            <w:vMerge w:val="restart"/>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布局要求</w:t>
            </w:r>
          </w:p>
        </w:tc>
        <w:tc>
          <w:tcPr>
            <w:tcW w:w="3917" w:type="pct"/>
            <w:tcMar>
              <w:top w:w="57" w:type="dxa"/>
              <w:left w:w="85" w:type="dxa"/>
              <w:bottom w:w="57" w:type="dxa"/>
              <w:right w:w="85" w:type="dxa"/>
            </w:tcMar>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规范管控对生态功能不造成破坏的有限人为活动。生态保护红线是国土空间规划中的重要管控边界，生态保护红线内自然保护地核心保护区外，禁止开发性、生产性建设活动，在符合法律法规的前提下，仅允许以下对生态功能不造成破坏的有限人为活动。生态保护红线内自然保护区、风景名胜区、饮用水水源保护区等区域，依照法律法规执行。</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eastAsia" w:ascii="Times New Roman" w:hAnsi="Times New Roman" w:eastAsia="仿宋" w:cs="Times New Roman"/>
                <w:b w:val="0"/>
                <w:bCs w:val="0"/>
                <w:kern w:val="0"/>
                <w:szCs w:val="21"/>
                <w:lang w:eastAsia="zh-CN" w:bidi="ar"/>
              </w:rPr>
            </w:pPr>
            <w:r>
              <w:rPr>
                <w:rFonts w:hint="default" w:ascii="Times New Roman" w:hAnsi="Times New Roman" w:eastAsia="仿宋" w:cs="Times New Roman"/>
                <w:b w:val="0"/>
                <w:bCs w:val="0"/>
                <w:kern w:val="0"/>
                <w:szCs w:val="21"/>
                <w:lang w:bidi="ar"/>
              </w:rPr>
              <w:t>（1）管护巡护、保护执法、科学研究、调查监测、测绘导航、防灾减灾救灾、军事国防、疫情防控等活动及相关的必要设施修筑</w:t>
            </w:r>
            <w:r>
              <w:rPr>
                <w:rFonts w:hint="eastAsia" w:ascii="Times New Roman" w:hAnsi="Times New Roman" w:eastAsia="仿宋" w:cs="Times New Roman"/>
                <w:b w:val="0"/>
                <w:bCs w:val="0"/>
                <w:kern w:val="0"/>
                <w:szCs w:val="21"/>
                <w:lang w:eastAsia="zh-CN" w:bidi="ar"/>
              </w:rPr>
              <w:t>；</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eastAsia" w:ascii="Times New Roman" w:hAnsi="Times New Roman" w:eastAsia="仿宋" w:cs="Times New Roman"/>
                <w:b w:val="0"/>
                <w:bCs w:val="0"/>
                <w:kern w:val="0"/>
                <w:szCs w:val="21"/>
                <w:lang w:eastAsia="zh-CN" w:bidi="ar"/>
              </w:rPr>
            </w:pPr>
            <w:r>
              <w:rPr>
                <w:rFonts w:hint="default" w:ascii="Times New Roman" w:hAnsi="Times New Roman" w:eastAsia="仿宋" w:cs="Times New Roman"/>
                <w:b w:val="0"/>
                <w:bCs w:val="0"/>
                <w:kern w:val="0"/>
                <w:szCs w:val="21"/>
                <w:lang w:bidi="ar"/>
              </w:rPr>
              <w:t>（2）原住居民和其他合法权益主体，允许在不扩大现有建设用地、耕地、水产养殖规模和放牧强度（符合草畜平衡管理规定）的前提下，开展种植、放牧、捕捞、养殖等活动，修筑生产生活设施</w:t>
            </w:r>
            <w:r>
              <w:rPr>
                <w:rFonts w:hint="eastAsia" w:ascii="Times New Roman" w:hAnsi="Times New Roman" w:eastAsia="仿宋" w:cs="Times New Roman"/>
                <w:b w:val="0"/>
                <w:bCs w:val="0"/>
                <w:kern w:val="0"/>
                <w:szCs w:val="21"/>
                <w:lang w:eastAsia="zh-CN" w:bidi="ar"/>
              </w:rPr>
              <w:t>；</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eastAsia" w:ascii="Times New Roman" w:hAnsi="Times New Roman" w:eastAsia="仿宋" w:cs="Times New Roman"/>
                <w:b w:val="0"/>
                <w:bCs w:val="0"/>
                <w:kern w:val="0"/>
                <w:szCs w:val="21"/>
                <w:lang w:eastAsia="zh-CN" w:bidi="ar"/>
              </w:rPr>
            </w:pPr>
            <w:r>
              <w:rPr>
                <w:rFonts w:hint="default" w:ascii="Times New Roman" w:hAnsi="Times New Roman" w:eastAsia="仿宋" w:cs="Times New Roman"/>
                <w:b w:val="0"/>
                <w:bCs w:val="0"/>
                <w:kern w:val="0"/>
                <w:szCs w:val="21"/>
                <w:lang w:bidi="ar"/>
              </w:rPr>
              <w:t>（3）经依法批准的考古调查发掘、古生物化石调查发掘、标本采集和文物保护活动</w:t>
            </w:r>
            <w:r>
              <w:rPr>
                <w:rFonts w:hint="eastAsia" w:ascii="Times New Roman" w:hAnsi="Times New Roman" w:eastAsia="仿宋" w:cs="Times New Roman"/>
                <w:b w:val="0"/>
                <w:bCs w:val="0"/>
                <w:kern w:val="0"/>
                <w:szCs w:val="21"/>
                <w:lang w:eastAsia="zh-CN" w:bidi="ar"/>
              </w:rPr>
              <w:t>；</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eastAsia" w:ascii="Times New Roman" w:hAnsi="Times New Roman" w:eastAsia="仿宋" w:cs="Times New Roman"/>
                <w:b w:val="0"/>
                <w:bCs w:val="0"/>
                <w:kern w:val="0"/>
                <w:szCs w:val="21"/>
                <w:lang w:eastAsia="zh-CN" w:bidi="ar"/>
              </w:rPr>
            </w:pPr>
            <w:r>
              <w:rPr>
                <w:rFonts w:hint="default" w:ascii="Times New Roman" w:hAnsi="Times New Roman" w:eastAsia="仿宋" w:cs="Times New Roman"/>
                <w:b w:val="0"/>
                <w:bCs w:val="0"/>
                <w:kern w:val="0"/>
                <w:szCs w:val="21"/>
                <w:lang w:bidi="ar"/>
              </w:rPr>
              <w:t>（4）按规定对人工商品林进行抚育采伐，或以提升森林质量、优化栖息地、建设生物防火隔离带等为目的的树种更新，依法开展的竹林采伐经营</w:t>
            </w:r>
            <w:r>
              <w:rPr>
                <w:rFonts w:hint="eastAsia" w:ascii="Times New Roman" w:hAnsi="Times New Roman" w:eastAsia="仿宋" w:cs="Times New Roman"/>
                <w:b w:val="0"/>
                <w:bCs w:val="0"/>
                <w:kern w:val="0"/>
                <w:szCs w:val="21"/>
                <w:lang w:eastAsia="zh-CN" w:bidi="ar"/>
              </w:rPr>
              <w:t>；</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eastAsia" w:ascii="Times New Roman" w:hAnsi="Times New Roman" w:eastAsia="仿宋" w:cs="Times New Roman"/>
                <w:b w:val="0"/>
                <w:bCs w:val="0"/>
                <w:kern w:val="0"/>
                <w:szCs w:val="21"/>
                <w:lang w:eastAsia="zh-CN" w:bidi="ar"/>
              </w:rPr>
            </w:pPr>
            <w:r>
              <w:rPr>
                <w:rFonts w:hint="default" w:ascii="Times New Roman" w:hAnsi="Times New Roman" w:eastAsia="仿宋" w:cs="Times New Roman"/>
                <w:b w:val="0"/>
                <w:bCs w:val="0"/>
                <w:kern w:val="0"/>
                <w:szCs w:val="21"/>
                <w:lang w:bidi="ar"/>
              </w:rPr>
              <w:t>（5）不破坏生态功能的适度参观旅游、科普宣教及符合相关规划的配套性服务设施和相关的必要公共设施建设及维护</w:t>
            </w:r>
            <w:r>
              <w:rPr>
                <w:rFonts w:hint="eastAsia" w:ascii="Times New Roman" w:hAnsi="Times New Roman" w:eastAsia="仿宋" w:cs="Times New Roman"/>
                <w:b w:val="0"/>
                <w:bCs w:val="0"/>
                <w:kern w:val="0"/>
                <w:szCs w:val="21"/>
                <w:lang w:eastAsia="zh-CN" w:bidi="ar"/>
              </w:rPr>
              <w:t>；</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eastAsia" w:ascii="Times New Roman" w:hAnsi="Times New Roman" w:eastAsia="仿宋" w:cs="Times New Roman"/>
                <w:b w:val="0"/>
                <w:bCs w:val="0"/>
                <w:kern w:val="0"/>
                <w:szCs w:val="21"/>
                <w:lang w:eastAsia="zh-CN" w:bidi="ar"/>
              </w:rPr>
            </w:pPr>
            <w:r>
              <w:rPr>
                <w:rFonts w:hint="default" w:ascii="Times New Roman" w:hAnsi="Times New Roman" w:eastAsia="仿宋" w:cs="Times New Roman"/>
                <w:b w:val="0"/>
                <w:bCs w:val="0"/>
                <w:kern w:val="0"/>
                <w:szCs w:val="21"/>
                <w:lang w:bidi="ar"/>
              </w:rPr>
              <w:t>（6）必须且无法避让、符合县级以上国土空间规划的线性基础设施、通讯和防洪、供水设施建设和船舶航行、航道疏浚清淤等活动；已有的合法水利、交通运输等设施运行维护改造</w:t>
            </w:r>
            <w:r>
              <w:rPr>
                <w:rFonts w:hint="eastAsia" w:ascii="Times New Roman" w:hAnsi="Times New Roman" w:eastAsia="仿宋" w:cs="Times New Roman"/>
                <w:b w:val="0"/>
                <w:bCs w:val="0"/>
                <w:kern w:val="0"/>
                <w:szCs w:val="21"/>
                <w:lang w:eastAsia="zh-CN" w:bidi="ar"/>
              </w:rPr>
              <w:t>；</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eastAsia" w:ascii="Times New Roman" w:hAnsi="Times New Roman" w:eastAsia="仿宋" w:cs="Times New Roman"/>
                <w:b w:val="0"/>
                <w:bCs w:val="0"/>
                <w:kern w:val="0"/>
                <w:szCs w:val="21"/>
                <w:lang w:eastAsia="zh-CN" w:bidi="ar"/>
              </w:rPr>
            </w:pPr>
            <w:r>
              <w:rPr>
                <w:rFonts w:hint="default" w:ascii="Times New Roman" w:hAnsi="Times New Roman" w:eastAsia="仿宋" w:cs="Times New Roman"/>
                <w:b w:val="0"/>
                <w:bCs w:val="0"/>
                <w:kern w:val="0"/>
                <w:szCs w:val="21"/>
                <w:lang w:bidi="ar"/>
              </w:rPr>
              <w:t>（7）地质调查与矿产资源勘查开采。包括：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或海域范围依照国家相关规定调出生态保护红线；已依法设立的油气采矿权不扩大用地用海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铬、铜、镍、锂、钴、锆、钾盐、（中）重稀土矿等战略性矿产探矿权开展勘查活动，可办理探矿权登记，因国家战略需要开展开采活动的，可办理采矿权登记。上述勘查开采活动，应落实减缓生态环境影响措施，严格执行绿色勘查、开采及矿山环境生态修复相关要求</w:t>
            </w:r>
            <w:r>
              <w:rPr>
                <w:rFonts w:hint="eastAsia" w:ascii="Times New Roman" w:hAnsi="Times New Roman" w:eastAsia="仿宋" w:cs="Times New Roman"/>
                <w:b w:val="0"/>
                <w:bCs w:val="0"/>
                <w:kern w:val="0"/>
                <w:szCs w:val="21"/>
                <w:lang w:eastAsia="zh-CN" w:bidi="ar"/>
              </w:rPr>
              <w:t>；</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eastAsia" w:ascii="Times New Roman" w:hAnsi="Times New Roman" w:eastAsia="仿宋" w:cs="Times New Roman"/>
                <w:b w:val="0"/>
                <w:bCs w:val="0"/>
                <w:kern w:val="0"/>
                <w:szCs w:val="21"/>
                <w:lang w:eastAsia="zh-CN" w:bidi="ar"/>
              </w:rPr>
            </w:pPr>
            <w:r>
              <w:rPr>
                <w:rFonts w:hint="default" w:ascii="Times New Roman" w:hAnsi="Times New Roman" w:eastAsia="仿宋" w:cs="Times New Roman"/>
                <w:b w:val="0"/>
                <w:bCs w:val="0"/>
                <w:kern w:val="0"/>
                <w:szCs w:val="21"/>
                <w:lang w:bidi="ar"/>
              </w:rPr>
              <w:t>（8）依据县级以上国土空间规划和生态保护修复专项规划开展的生态修复</w:t>
            </w:r>
            <w:r>
              <w:rPr>
                <w:rFonts w:hint="eastAsia" w:ascii="Times New Roman" w:hAnsi="Times New Roman" w:eastAsia="仿宋" w:cs="Times New Roman"/>
                <w:b w:val="0"/>
                <w:bCs w:val="0"/>
                <w:kern w:val="0"/>
                <w:szCs w:val="21"/>
                <w:lang w:eastAsia="zh-CN" w:bidi="ar"/>
              </w:rPr>
              <w:t>；</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（9）法律法规规定允许的其他人为活动。</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生态保护红线内，自然保护地核心保护区原则上禁止人为活动，其他区域严格禁止开发性、生产性建设活动，在符合现行法律法规前提下，除国家重大战略项目外，仅允许对生态功能不造成破坏的有限人为活动。</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生态保护红线原则上按禁止开发区域的要求进行管理。严禁不符合主体功能定位的各类开发活动，严禁任意改变用途，严格禁止单位和个人擅自占用和改变用地性质，鼓励按照规划开展维护、修复和提升生态功能的活动。因国家重大战略资源勘查需要，在不影响主体功能定位的前提下，经依法批准后予以安排。</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生态保护红线外的生态空间，原则上按限制开发区域的要求进行管理。按照生态空间用途分区，依法制定区域准入条件，明确允许、限制、禁止的产业和项目类型清单，根据空间规划确定的开发强度，提出城乡建设、工农业生产、矿产开发、旅游康体等活动的规模、强度、布局和环境护等方面的要求，由同级人民政府予以公示。</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4.禁止在自然保护区内进行砍伐、放牧、狩猎、捕捞、采药、开垦、烧荒、开矿、采石、挖沙等活动；但是，法律、行政法规另有规定的除外。</w:t>
            </w:r>
          </w:p>
          <w:p>
            <w:pPr>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5.禁止毁林开垦、采石、采砂、采土以及其他毁坏林木和林地的行为。</w:t>
            </w:r>
          </w:p>
          <w:p>
            <w:pPr>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禁止向林地排放重金属或者其他有毒有害物质含量超标的污水、污泥，以及可能造成林地污染的清淤底泥、尾矿、矿渣等。</w:t>
            </w:r>
          </w:p>
          <w:p>
            <w:pPr>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禁止在幼林地砍柴、毁苗、放牧。</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禁止擅自移动或者损坏森林保护标志。</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6.在森林公园内禁止下列行为：</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（1）</w:t>
            </w:r>
            <w:r>
              <w:rPr>
                <w:rFonts w:hint="default" w:ascii="Times New Roman" w:hAnsi="Times New Roman" w:eastAsia="仿宋" w:cs="Times New Roman"/>
                <w:b w:val="0"/>
                <w:bCs w:val="0"/>
                <w:szCs w:val="21"/>
              </w:rPr>
              <w:t>损坏花草；</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（2）</w:t>
            </w:r>
            <w:r>
              <w:rPr>
                <w:rFonts w:hint="default" w:ascii="Times New Roman" w:hAnsi="Times New Roman" w:eastAsia="仿宋" w:cs="Times New Roman"/>
                <w:b w:val="0"/>
                <w:bCs w:val="0"/>
                <w:szCs w:val="21"/>
              </w:rPr>
              <w:t>乱扔垃圾；</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（3）</w:t>
            </w:r>
            <w:r>
              <w:rPr>
                <w:rFonts w:hint="default" w:ascii="Times New Roman" w:hAnsi="Times New Roman" w:eastAsia="仿宋" w:cs="Times New Roman"/>
                <w:b w:val="0"/>
                <w:bCs w:val="0"/>
                <w:szCs w:val="21"/>
              </w:rPr>
              <w:t>采挖花草、树根(兜)；</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（4）</w:t>
            </w:r>
            <w:r>
              <w:rPr>
                <w:rFonts w:hint="default" w:ascii="Times New Roman" w:hAnsi="Times New Roman" w:eastAsia="仿宋" w:cs="Times New Roman"/>
                <w:b w:val="0"/>
                <w:bCs w:val="0"/>
                <w:szCs w:val="21"/>
              </w:rPr>
              <w:t>污损、损坏林木及其标识、公共服务设施、设备；</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（5）</w:t>
            </w:r>
            <w:r>
              <w:rPr>
                <w:rFonts w:hint="default" w:ascii="Times New Roman" w:hAnsi="Times New Roman" w:eastAsia="仿宋" w:cs="Times New Roman"/>
                <w:b w:val="0"/>
                <w:bCs w:val="0"/>
                <w:szCs w:val="21"/>
              </w:rPr>
              <w:t>燃放烟花爆竹、焚烧香蜡纸烛、在非吸烟区吸烟；</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（6）</w:t>
            </w:r>
            <w:r>
              <w:rPr>
                <w:rFonts w:hint="default" w:ascii="Times New Roman" w:hAnsi="Times New Roman" w:eastAsia="仿宋" w:cs="Times New Roman"/>
                <w:b w:val="0"/>
                <w:bCs w:val="0"/>
                <w:szCs w:val="21"/>
              </w:rPr>
              <w:t>乱搭乱建建筑物、构筑物和乱拉乱接电源线；</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（7）</w:t>
            </w:r>
            <w:r>
              <w:rPr>
                <w:rFonts w:hint="default" w:ascii="Times New Roman" w:hAnsi="Times New Roman" w:eastAsia="仿宋" w:cs="Times New Roman"/>
                <w:b w:val="0"/>
                <w:bCs w:val="0"/>
                <w:szCs w:val="21"/>
              </w:rPr>
              <w:t>新建、改建坟墓；</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szCs w:val="21"/>
                <w:lang w:eastAsia="zh-CN"/>
              </w:rPr>
              <w:t>（8）</w:t>
            </w:r>
            <w:r>
              <w:rPr>
                <w:rFonts w:hint="default" w:ascii="Times New Roman" w:hAnsi="Times New Roman" w:eastAsia="仿宋" w:cs="Times New Roman"/>
                <w:b w:val="0"/>
                <w:bCs w:val="0"/>
                <w:szCs w:val="21"/>
              </w:rPr>
              <w:t>法律，法规禁止的其他行为。</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szCs w:val="21"/>
              </w:rPr>
              <w:t>7.禁止毁林开垦，禁止毁林采石、采砂、采土、采种和违反操作技术规程采脂、挖笋、掘根、剥树皮以及过度修枝等毁林行为。</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8.在风景名胜区内禁止进行下列活动：</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（1）</w:t>
            </w:r>
            <w:r>
              <w:rPr>
                <w:rFonts w:hint="default" w:ascii="Times New Roman" w:hAnsi="Times New Roman" w:eastAsia="仿宋" w:cs="Times New Roman"/>
                <w:b w:val="0"/>
                <w:bCs w:val="0"/>
                <w:szCs w:val="21"/>
              </w:rPr>
              <w:t>开山、采石、开矿、开荒、修坟立碑等破坏景观、植被和地形地貌的活动；</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（2）</w:t>
            </w:r>
            <w:r>
              <w:rPr>
                <w:rFonts w:hint="default" w:ascii="Times New Roman" w:hAnsi="Times New Roman" w:eastAsia="仿宋" w:cs="Times New Roman"/>
                <w:b w:val="0"/>
                <w:bCs w:val="0"/>
                <w:szCs w:val="21"/>
              </w:rPr>
              <w:t>修建储存爆炸性、易燃性、放射性、毒害性、腐蚀性物品的设施；</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（3）</w:t>
            </w:r>
            <w:r>
              <w:rPr>
                <w:rFonts w:hint="default" w:ascii="Times New Roman" w:hAnsi="Times New Roman" w:eastAsia="仿宋" w:cs="Times New Roman"/>
                <w:b w:val="0"/>
                <w:bCs w:val="0"/>
                <w:szCs w:val="21"/>
              </w:rPr>
              <w:t>在景物或者设施上刻划、涂污；</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（4）</w:t>
            </w:r>
            <w:r>
              <w:rPr>
                <w:rFonts w:hint="default" w:ascii="Times New Roman" w:hAnsi="Times New Roman" w:eastAsia="仿宋" w:cs="Times New Roman"/>
                <w:b w:val="0"/>
                <w:bCs w:val="0"/>
                <w:szCs w:val="21"/>
              </w:rPr>
              <w:t xml:space="preserve">乱扔垃圾。 </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9.风景名胜区内禁止进行下列活动：</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（1）</w:t>
            </w:r>
            <w:r>
              <w:rPr>
                <w:rFonts w:hint="default" w:ascii="Times New Roman" w:hAnsi="Times New Roman" w:eastAsia="仿宋" w:cs="Times New Roman"/>
                <w:b w:val="0"/>
                <w:bCs w:val="0"/>
                <w:szCs w:val="21"/>
              </w:rPr>
              <w:t>非法占用风景名胜资源或者风景名胜区土地，擅自改变风景名胜资源性质或者风景名胜区土地使用性质；</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（2）</w:t>
            </w:r>
            <w:r>
              <w:rPr>
                <w:rFonts w:hint="default" w:ascii="Times New Roman" w:hAnsi="Times New Roman" w:eastAsia="仿宋" w:cs="Times New Roman"/>
                <w:b w:val="0"/>
                <w:bCs w:val="0"/>
                <w:szCs w:val="21"/>
              </w:rPr>
              <w:t>开山、采石、开矿、开荒、修坟立碑等破坏景观、植被和地形地貌的活动；</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（3）</w:t>
            </w:r>
            <w:r>
              <w:rPr>
                <w:rFonts w:hint="default" w:ascii="Times New Roman" w:hAnsi="Times New Roman" w:eastAsia="仿宋" w:cs="Times New Roman"/>
                <w:b w:val="0"/>
                <w:bCs w:val="0"/>
                <w:szCs w:val="21"/>
              </w:rPr>
              <w:t>修建储存爆炸性、易燃性、放射性、毒害性、腐蚀性物品的设施；</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（4）</w:t>
            </w:r>
            <w:r>
              <w:rPr>
                <w:rFonts w:hint="default" w:ascii="Times New Roman" w:hAnsi="Times New Roman" w:eastAsia="仿宋" w:cs="Times New Roman"/>
                <w:b w:val="0"/>
                <w:bCs w:val="0"/>
                <w:szCs w:val="21"/>
              </w:rPr>
              <w:t>修建破坏景观、污染环境、妨碍游览和危害风景名胜区安全的建筑物、构筑物、设施；</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（5）</w:t>
            </w:r>
            <w:r>
              <w:rPr>
                <w:rFonts w:hint="default" w:ascii="Times New Roman" w:hAnsi="Times New Roman" w:eastAsia="仿宋" w:cs="Times New Roman"/>
                <w:b w:val="0"/>
                <w:bCs w:val="0"/>
                <w:szCs w:val="21"/>
              </w:rPr>
              <w:t>擅自建造、设立宗教活动场所或者塑造佛像、神像等；</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（6）</w:t>
            </w:r>
            <w:r>
              <w:rPr>
                <w:rFonts w:hint="default" w:ascii="Times New Roman" w:hAnsi="Times New Roman" w:eastAsia="仿宋" w:cs="Times New Roman"/>
                <w:b w:val="0"/>
                <w:bCs w:val="0"/>
                <w:szCs w:val="21"/>
              </w:rPr>
              <w:t>砍伐、毁坏风景林木，采挖花草苗木，在游览区及保护区内砍柴、放牧；</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（7）</w:t>
            </w:r>
            <w:r>
              <w:rPr>
                <w:rFonts w:hint="default" w:ascii="Times New Roman" w:hAnsi="Times New Roman" w:eastAsia="仿宋" w:cs="Times New Roman"/>
                <w:b w:val="0"/>
                <w:bCs w:val="0"/>
                <w:szCs w:val="21"/>
              </w:rPr>
              <w:t>损坏景物、公共设施，在景物或者设施上刻划、涂污；</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（8）</w:t>
            </w:r>
            <w:r>
              <w:rPr>
                <w:rFonts w:hint="default" w:ascii="Times New Roman" w:hAnsi="Times New Roman" w:eastAsia="仿宋" w:cs="Times New Roman"/>
                <w:b w:val="0"/>
                <w:bCs w:val="0"/>
                <w:szCs w:val="21"/>
              </w:rPr>
              <w:t>在禁火区内吸烟、燃放烟花爆竹、用火；</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（9）</w:t>
            </w:r>
            <w:r>
              <w:rPr>
                <w:rFonts w:hint="default" w:ascii="Times New Roman" w:hAnsi="Times New Roman" w:eastAsia="仿宋" w:cs="Times New Roman"/>
                <w:b w:val="0"/>
                <w:bCs w:val="0"/>
                <w:szCs w:val="21"/>
              </w:rPr>
              <w:t>乱扔垃圾；</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（10）</w:t>
            </w:r>
            <w:r>
              <w:rPr>
                <w:rFonts w:hint="default" w:ascii="Times New Roman" w:hAnsi="Times New Roman" w:eastAsia="仿宋" w:cs="Times New Roman"/>
                <w:b w:val="0"/>
                <w:bCs w:val="0"/>
                <w:szCs w:val="21"/>
              </w:rPr>
              <w:t>其他破坏风景名胜资源、景观的行为。</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10.严格保护国家级自然公园内的森林、草原、湿地、荒漠、海洋、水域、生物等珍贵自然资源，以及自然遗迹、自然景观和文物古迹等人文景观。在国家级自然公园内开展相关活动和设施建设，不得擅自改变其自然状态和历史风貌。禁止擅自在国家级自然公园内从事采矿、房地产、开发区、高尔夫球场、风力光伏电场等不符合管控要求的开发活动。禁止违规侵占国家级自然公园，排放不符合水污染物排放标准的工业废水、生活污水及其他的废水、污水，倾倒、堆放、丢弃、遗撒固体废物等污染生态环境的行为。</w:t>
            </w:r>
          </w:p>
          <w:p>
            <w:pPr>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11.饮用水水源一级保护区内除饮用水水源准保护区、二级保护区内禁止行为外，还禁止下列行为：</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eastAsia" w:ascii="Times New Roman" w:hAnsi="Times New Roman" w:eastAsia="仿宋" w:cs="Times New Roman"/>
                <w:b w:val="0"/>
                <w:bCs w:val="0"/>
                <w:szCs w:val="21"/>
                <w:lang w:eastAsia="zh-CN"/>
              </w:rPr>
            </w:pPr>
            <w:r>
              <w:rPr>
                <w:rFonts w:hint="eastAsia" w:ascii="Times New Roman" w:hAnsi="Times New Roman" w:eastAsia="仿宋" w:cs="Times New Roman"/>
                <w:b w:val="0"/>
                <w:bCs w:val="0"/>
                <w:szCs w:val="21"/>
                <w:lang w:eastAsia="zh-CN"/>
              </w:rPr>
              <w:t>（1）</w:t>
            </w:r>
            <w:r>
              <w:rPr>
                <w:rFonts w:hint="default" w:ascii="Times New Roman" w:hAnsi="Times New Roman" w:eastAsia="仿宋" w:cs="Times New Roman"/>
                <w:b w:val="0"/>
                <w:bCs w:val="0"/>
                <w:szCs w:val="21"/>
              </w:rPr>
              <w:t>新建、改建、扩建与供水设施和保护水源无关的建设项目</w:t>
            </w:r>
            <w:r>
              <w:rPr>
                <w:rFonts w:hint="eastAsia" w:ascii="Times New Roman" w:hAnsi="Times New Roman" w:eastAsia="仿宋" w:cs="Times New Roman"/>
                <w:b w:val="0"/>
                <w:bCs w:val="0"/>
                <w:szCs w:val="21"/>
                <w:lang w:eastAsia="zh-CN"/>
              </w:rPr>
              <w:t>；</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（2）</w:t>
            </w:r>
            <w:r>
              <w:rPr>
                <w:rFonts w:hint="default" w:ascii="Times New Roman" w:hAnsi="Times New Roman" w:eastAsia="仿宋" w:cs="Times New Roman"/>
                <w:b w:val="0"/>
                <w:bCs w:val="0"/>
                <w:szCs w:val="21"/>
              </w:rPr>
              <w:t>设置与供水需要无关的码头和停靠船舶;</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（3）</w:t>
            </w:r>
            <w:r>
              <w:rPr>
                <w:rFonts w:hint="default" w:ascii="Times New Roman" w:hAnsi="Times New Roman" w:eastAsia="仿宋" w:cs="Times New Roman"/>
                <w:b w:val="0"/>
                <w:bCs w:val="0"/>
                <w:szCs w:val="21"/>
              </w:rPr>
              <w:t>从事旅游、垂钓、捕捞、游泳、水上运动和其他可能污染水体的活动。</w:t>
            </w:r>
          </w:p>
          <w:p>
            <w:pPr>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12.饮用水水源二级保护区内除饮用水水源准保护区内禁止的行为外，还禁止下列行为：</w:t>
            </w:r>
          </w:p>
          <w:p>
            <w:pPr>
              <w:pStyle w:val="4"/>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（1）</w:t>
            </w:r>
            <w:r>
              <w:rPr>
                <w:rFonts w:hint="default" w:ascii="Times New Roman" w:hAnsi="Times New Roman" w:eastAsia="仿宋" w:cs="Times New Roman"/>
                <w:b w:val="0"/>
                <w:bCs w:val="0"/>
                <w:szCs w:val="21"/>
              </w:rPr>
              <w:t>建设排污口；</w:t>
            </w:r>
          </w:p>
          <w:p>
            <w:pPr>
              <w:pStyle w:val="4"/>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（2）</w:t>
            </w:r>
            <w:r>
              <w:rPr>
                <w:rFonts w:hint="default" w:ascii="Times New Roman" w:hAnsi="Times New Roman" w:eastAsia="仿宋" w:cs="Times New Roman"/>
                <w:b w:val="0"/>
                <w:bCs w:val="0"/>
                <w:szCs w:val="21"/>
              </w:rPr>
              <w:t>新建、改建、扩建有污染的建设项目；</w:t>
            </w:r>
          </w:p>
          <w:p>
            <w:pPr>
              <w:pStyle w:val="4"/>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（3）</w:t>
            </w:r>
            <w:r>
              <w:rPr>
                <w:rFonts w:hint="default" w:ascii="Times New Roman" w:hAnsi="Times New Roman" w:eastAsia="仿宋" w:cs="Times New Roman"/>
                <w:b w:val="0"/>
                <w:bCs w:val="0"/>
                <w:szCs w:val="21"/>
              </w:rPr>
              <w:t>设置装卸垃圾、粪便、油渍和有毒物品的码头；</w:t>
            </w:r>
          </w:p>
          <w:p>
            <w:pPr>
              <w:pStyle w:val="4"/>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（4）</w:t>
            </w:r>
            <w:r>
              <w:rPr>
                <w:rFonts w:hint="default" w:ascii="Times New Roman" w:hAnsi="Times New Roman" w:eastAsia="仿宋" w:cs="Times New Roman"/>
                <w:b w:val="0"/>
                <w:bCs w:val="0"/>
                <w:szCs w:val="21"/>
              </w:rPr>
              <w:t>葬坟、掩埋动物尸体；</w:t>
            </w:r>
          </w:p>
          <w:p>
            <w:pPr>
              <w:pStyle w:val="4"/>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（5）</w:t>
            </w:r>
            <w:r>
              <w:rPr>
                <w:rFonts w:hint="default" w:ascii="Times New Roman" w:hAnsi="Times New Roman" w:eastAsia="仿宋" w:cs="Times New Roman"/>
                <w:b w:val="0"/>
                <w:bCs w:val="0"/>
                <w:szCs w:val="21"/>
              </w:rPr>
              <w:t>设置油库；</w:t>
            </w:r>
          </w:p>
          <w:p>
            <w:pPr>
              <w:pStyle w:val="4"/>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（6）</w:t>
            </w:r>
            <w:r>
              <w:rPr>
                <w:rFonts w:hint="default" w:ascii="Times New Roman" w:hAnsi="Times New Roman" w:eastAsia="仿宋" w:cs="Times New Roman"/>
                <w:b w:val="0"/>
                <w:bCs w:val="0"/>
                <w:szCs w:val="21"/>
              </w:rPr>
              <w:t>经营有污染物排放的餐饮、住宿和娱乐场所；</w:t>
            </w:r>
          </w:p>
          <w:p>
            <w:pPr>
              <w:pStyle w:val="4"/>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（7）</w:t>
            </w:r>
            <w:r>
              <w:rPr>
                <w:rFonts w:hint="default" w:ascii="Times New Roman" w:hAnsi="Times New Roman" w:eastAsia="仿宋" w:cs="Times New Roman"/>
                <w:b w:val="0"/>
                <w:bCs w:val="0"/>
                <w:szCs w:val="21"/>
              </w:rPr>
              <w:t>建设畜禽养殖场、养殖小区，敞养、放养畜离；</w:t>
            </w:r>
          </w:p>
          <w:p>
            <w:pPr>
              <w:pStyle w:val="4"/>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（8）</w:t>
            </w:r>
            <w:r>
              <w:rPr>
                <w:rFonts w:hint="default" w:ascii="Times New Roman" w:hAnsi="Times New Roman" w:eastAsia="仿宋" w:cs="Times New Roman"/>
                <w:b w:val="0"/>
                <w:bCs w:val="0"/>
                <w:szCs w:val="21"/>
              </w:rPr>
              <w:t>建设产生污染的建筑物、构筑物；</w:t>
            </w:r>
          </w:p>
          <w:p>
            <w:pPr>
              <w:pStyle w:val="4"/>
              <w:keepNext w:val="0"/>
              <w:keepLines w:val="0"/>
              <w:pageBreakBefore w:val="0"/>
              <w:widowControl/>
              <w:kinsoku/>
              <w:wordWrap/>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rPr>
            </w:pPr>
            <w:r>
              <w:rPr>
                <w:rFonts w:hint="eastAsia" w:ascii="Times New Roman" w:hAnsi="Times New Roman" w:eastAsia="仿宋" w:cs="Times New Roman"/>
                <w:b w:val="0"/>
                <w:bCs w:val="0"/>
                <w:szCs w:val="21"/>
                <w:lang w:eastAsia="zh-CN"/>
              </w:rPr>
              <w:t>（9）</w:t>
            </w:r>
            <w:r>
              <w:rPr>
                <w:rFonts w:hint="default" w:ascii="Times New Roman" w:hAnsi="Times New Roman" w:eastAsia="仿宋" w:cs="Times New Roman"/>
                <w:b w:val="0"/>
                <w:bCs w:val="0"/>
                <w:szCs w:val="21"/>
              </w:rPr>
              <w:t>采矿。</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13.禁止下列破坏湿地及其生态功能的行为：</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（1）</w:t>
            </w:r>
            <w:r>
              <w:rPr>
                <w:rFonts w:hint="default" w:ascii="Times New Roman" w:hAnsi="Times New Roman" w:eastAsia="仿宋" w:cs="Times New Roman"/>
                <w:b w:val="0"/>
                <w:bCs w:val="0"/>
                <w:kern w:val="0"/>
                <w:szCs w:val="21"/>
                <w:lang w:bidi="ar"/>
              </w:rPr>
              <w:t>开（围）垦、排干自然湿地，永久性截断自然湿地水源；</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（2）</w:t>
            </w:r>
            <w:r>
              <w:rPr>
                <w:rFonts w:hint="default" w:ascii="Times New Roman" w:hAnsi="Times New Roman" w:eastAsia="仿宋" w:cs="Times New Roman"/>
                <w:b w:val="0"/>
                <w:bCs w:val="0"/>
                <w:kern w:val="0"/>
                <w:szCs w:val="21"/>
                <w:lang w:bidi="ar"/>
              </w:rPr>
              <w:t>擅自填埋自然湿地，擅自采砂、采矿、取土；</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（3）</w:t>
            </w:r>
            <w:r>
              <w:rPr>
                <w:rFonts w:hint="default" w:ascii="Times New Roman" w:hAnsi="Times New Roman" w:eastAsia="仿宋" w:cs="Times New Roman"/>
                <w:b w:val="0"/>
                <w:bCs w:val="0"/>
                <w:kern w:val="0"/>
                <w:szCs w:val="21"/>
                <w:lang w:bidi="ar"/>
              </w:rPr>
              <w:t>排放不符合水污染物排放标准的工业废水、生活污水及其他污染湿地的废水、污水，倾倒、堆放、丢弃、遗撒固体废物；</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（4）</w:t>
            </w:r>
            <w:r>
              <w:rPr>
                <w:rFonts w:hint="default" w:ascii="Times New Roman" w:hAnsi="Times New Roman" w:eastAsia="仿宋" w:cs="Times New Roman"/>
                <w:b w:val="0"/>
                <w:bCs w:val="0"/>
                <w:kern w:val="0"/>
                <w:szCs w:val="21"/>
                <w:lang w:bidi="ar"/>
              </w:rPr>
              <w:t>过度放牧或者滥采野生植物，过度捕捞或者灭绝式捕捞，过度施肥、投药、投放饵料等污染湿地的种植养殖行为；</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（5）</w:t>
            </w:r>
            <w:r>
              <w:rPr>
                <w:rFonts w:hint="default" w:ascii="Times New Roman" w:hAnsi="Times New Roman" w:eastAsia="仿宋" w:cs="Times New Roman"/>
                <w:b w:val="0"/>
                <w:bCs w:val="0"/>
                <w:kern w:val="0"/>
                <w:szCs w:val="21"/>
                <w:lang w:bidi="ar"/>
              </w:rPr>
              <w:t>其他破坏湿地及其生态功能的行为。</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14.在湿地保护范围内禁止下列行为：</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（1）</w:t>
            </w:r>
            <w:r>
              <w:rPr>
                <w:rFonts w:hint="default" w:ascii="Times New Roman" w:hAnsi="Times New Roman" w:eastAsia="仿宋" w:cs="Times New Roman"/>
                <w:b w:val="0"/>
                <w:bCs w:val="0"/>
                <w:kern w:val="0"/>
                <w:szCs w:val="21"/>
                <w:lang w:bidi="ar"/>
              </w:rPr>
              <w:t>倾倒和堆置废弃物、排放有毒有害物质或者超标废水；</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（2）</w:t>
            </w:r>
            <w:r>
              <w:rPr>
                <w:rFonts w:hint="default" w:ascii="Times New Roman" w:hAnsi="Times New Roman" w:eastAsia="仿宋" w:cs="Times New Roman"/>
                <w:b w:val="0"/>
                <w:bCs w:val="0"/>
                <w:kern w:val="0"/>
                <w:szCs w:val="21"/>
                <w:lang w:bidi="ar"/>
              </w:rPr>
              <w:t>擅自新建、改建、扩建建筑物和构筑物；</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（3）</w:t>
            </w:r>
            <w:r>
              <w:rPr>
                <w:rFonts w:hint="default" w:ascii="Times New Roman" w:hAnsi="Times New Roman" w:eastAsia="仿宋" w:cs="Times New Roman"/>
                <w:b w:val="0"/>
                <w:bCs w:val="0"/>
                <w:kern w:val="0"/>
                <w:szCs w:val="21"/>
                <w:lang w:bidi="ar"/>
              </w:rPr>
              <w:t>非法捕捞鱼类及其他水生生物；</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（4）</w:t>
            </w:r>
            <w:r>
              <w:rPr>
                <w:rFonts w:hint="default" w:ascii="Times New Roman" w:hAnsi="Times New Roman" w:eastAsia="仿宋" w:cs="Times New Roman"/>
                <w:b w:val="0"/>
                <w:bCs w:val="0"/>
                <w:kern w:val="0"/>
                <w:szCs w:val="21"/>
                <w:lang w:bidi="ar"/>
              </w:rPr>
              <w:t>擅自排放湿地蓄水或者修建阻水、排水设施，截断湿地与外围水系联系；</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（5）</w:t>
            </w:r>
            <w:r>
              <w:rPr>
                <w:rFonts w:hint="default" w:ascii="Times New Roman" w:hAnsi="Times New Roman" w:eastAsia="仿宋" w:cs="Times New Roman"/>
                <w:b w:val="0"/>
                <w:bCs w:val="0"/>
                <w:kern w:val="0"/>
                <w:szCs w:val="21"/>
                <w:lang w:bidi="ar"/>
              </w:rPr>
              <w:t>擅自猎捕、采集国家和省重点保护的野生动植物，捡拾或者破坏野生鸟卵；</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（6）</w:t>
            </w:r>
            <w:r>
              <w:rPr>
                <w:rFonts w:hint="default" w:ascii="Times New Roman" w:hAnsi="Times New Roman" w:eastAsia="仿宋" w:cs="Times New Roman"/>
                <w:b w:val="0"/>
                <w:bCs w:val="0"/>
                <w:kern w:val="0"/>
                <w:szCs w:val="21"/>
                <w:lang w:bidi="ar"/>
              </w:rPr>
              <w:t>擅自开垦、围垦、填埋、占用湿地或者改变湿地用途；</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（7）</w:t>
            </w:r>
            <w:r>
              <w:rPr>
                <w:rFonts w:hint="default" w:ascii="Times New Roman" w:hAnsi="Times New Roman" w:eastAsia="仿宋" w:cs="Times New Roman"/>
                <w:b w:val="0"/>
                <w:bCs w:val="0"/>
                <w:kern w:val="0"/>
                <w:szCs w:val="21"/>
                <w:lang w:bidi="ar"/>
              </w:rPr>
              <w:t>擅自挖砂、采矿、取土、烧荒、采集泥炭或者泥炭藓、揭取草皮；</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w:t>
            </w:r>
            <w:r>
              <w:rPr>
                <w:rFonts w:hint="eastAsia" w:ascii="Times New Roman" w:hAnsi="Times New Roman" w:eastAsia="仿宋" w:cs="Times New Roman"/>
                <w:b w:val="0"/>
                <w:bCs w:val="0"/>
                <w:kern w:val="0"/>
                <w:szCs w:val="21"/>
                <w:lang w:val="en-US" w:eastAsia="zh-CN" w:bidi="ar"/>
              </w:rPr>
              <w:t>8</w:t>
            </w:r>
            <w:r>
              <w:rPr>
                <w:rFonts w:hint="default" w:ascii="Times New Roman" w:hAnsi="Times New Roman" w:eastAsia="仿宋" w:cs="Times New Roman"/>
                <w:b w:val="0"/>
                <w:bCs w:val="0"/>
                <w:kern w:val="0"/>
                <w:szCs w:val="21"/>
                <w:lang w:bidi="ar"/>
              </w:rPr>
              <w:t>）其他破坏湿地及其生态功能的行为。</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15.在河道管理范围内开展水上旅游、水上运动等活动，应当符合河道水域保护规划，不得影响河道防洪安全、行洪安全、工程安全和公共安全，不得污染河道水体。</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5378" w:hRule="atLeast"/>
        </w:trPr>
        <w:tc>
          <w:tcPr>
            <w:tcW w:w="643" w:type="pct"/>
            <w:vMerge w:val="restart"/>
            <w:shd w:val="clear" w:color="auto" w:fill="auto"/>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重点管控单元</w:t>
            </w:r>
          </w:p>
        </w:tc>
        <w:tc>
          <w:tcPr>
            <w:tcW w:w="439" w:type="pct"/>
            <w:vMerge w:val="restart"/>
            <w:shd w:val="clear" w:color="auto" w:fill="auto"/>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布局要求</w:t>
            </w:r>
          </w:p>
        </w:tc>
        <w:tc>
          <w:tcPr>
            <w:tcW w:w="3917" w:type="pct"/>
            <w:shd w:val="clear" w:color="auto" w:fill="auto"/>
            <w:tcMar>
              <w:top w:w="57" w:type="dxa"/>
              <w:left w:w="85" w:type="dxa"/>
              <w:bottom w:w="57" w:type="dxa"/>
              <w:right w:w="85" w:type="dxa"/>
            </w:tcMar>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val="en-US" w:eastAsia="zh-CN" w:bidi="ar"/>
              </w:rPr>
            </w:pPr>
            <w:r>
              <w:rPr>
                <w:rFonts w:hint="default" w:ascii="Times New Roman" w:hAnsi="Times New Roman" w:eastAsia="仿宋" w:cs="Times New Roman"/>
                <w:b w:val="0"/>
                <w:bCs w:val="0"/>
                <w:kern w:val="0"/>
                <w:szCs w:val="21"/>
                <w:lang w:val="en-US" w:eastAsia="zh-CN" w:bidi="ar"/>
              </w:rPr>
              <w:t>1</w:t>
            </w:r>
            <w:r>
              <w:rPr>
                <w:rFonts w:hint="default" w:ascii="Times New Roman" w:hAnsi="Times New Roman" w:eastAsia="仿宋" w:cs="Times New Roman"/>
                <w:b w:val="0"/>
                <w:bCs w:val="0"/>
                <w:kern w:val="0"/>
                <w:szCs w:val="21"/>
                <w:lang w:bidi="ar"/>
              </w:rPr>
              <w:t>.城市建设应当统筹规划，在燃煤供热地区，推进热电联产和集中供热。在集中供热管网覆盖地区，禁止新建、扩建分散燃煤供热锅炉；已建成的不能达标排放的燃煤供热锅炉，应当在城市人民政府规定的期限内拆除。</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 w:val="21"/>
                <w:szCs w:val="21"/>
                <w:lang w:val="en-US" w:eastAsia="zh-CN" w:bidi="ar"/>
              </w:rPr>
            </w:pPr>
            <w:r>
              <w:rPr>
                <w:rFonts w:hint="default" w:ascii="Times New Roman" w:hAnsi="Times New Roman" w:eastAsia="仿宋" w:cs="Times New Roman"/>
                <w:b w:val="0"/>
                <w:bCs w:val="0"/>
                <w:kern w:val="0"/>
                <w:szCs w:val="21"/>
                <w:lang w:val="en-US" w:eastAsia="zh-CN" w:bidi="ar"/>
              </w:rPr>
              <w:t>2</w:t>
            </w:r>
            <w:r>
              <w:rPr>
                <w:rFonts w:hint="default" w:ascii="Times New Roman" w:hAnsi="Times New Roman" w:eastAsia="仿宋" w:cs="Times New Roman"/>
                <w:b w:val="0"/>
                <w:bCs w:val="0"/>
                <w:kern w:val="0"/>
                <w:szCs w:val="21"/>
                <w:lang w:bidi="ar"/>
              </w:rPr>
              <w:t>.切实转变“环湖造城、环湖开发”发展模式，转变治湖理念，落实地方主体责任。科学划定湖泊流域保护范围，保护区内禁止建设房地产、旅游景点、高尔夫球场等设施，严禁各类旅游设施、餐饮客栈侵占湖体，坚决清理整顿以文旅、康养等名目打“擦边球”搞沿湖贴线开发行为，全面排查整治沿湖房地产项目违规违建。不断加大执法检查力度，对各类涉湖违法违规行为保持“零容忍”。</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 w:val="21"/>
                <w:szCs w:val="21"/>
                <w:lang w:val="en-US" w:eastAsia="zh-CN" w:bidi="ar"/>
              </w:rPr>
            </w:pPr>
            <w:r>
              <w:rPr>
                <w:rFonts w:hint="default" w:ascii="Times New Roman" w:hAnsi="Times New Roman" w:eastAsia="仿宋" w:cs="Times New Roman"/>
                <w:b w:val="0"/>
                <w:bCs w:val="0"/>
                <w:kern w:val="0"/>
                <w:szCs w:val="21"/>
                <w:lang w:val="en-US" w:eastAsia="zh-CN" w:bidi="ar"/>
              </w:rPr>
              <w:t>3</w:t>
            </w:r>
            <w:r>
              <w:rPr>
                <w:rFonts w:hint="default" w:ascii="Times New Roman" w:hAnsi="Times New Roman" w:eastAsia="仿宋" w:cs="Times New Roman"/>
                <w:b w:val="0"/>
                <w:bCs w:val="0"/>
                <w:kern w:val="0"/>
                <w:szCs w:val="21"/>
                <w:lang w:bidi="ar"/>
              </w:rPr>
              <w:t>.严格重点行业企业准入管理。新、改、扩建重点行业建设项目应符合“三线一单”、产业政策、区域环评、规划环评和行业环境准入管控要求。重点区域的新、改、扩建重点行业建设项目应遵循重点重金属污染物排放“减量替代”原则，减量替代比例不低于1.2:1；其他区域遵循“等量替代”原则。</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 w:val="21"/>
                <w:szCs w:val="21"/>
                <w:lang w:val="en-US" w:eastAsia="zh-CN" w:bidi="ar"/>
              </w:rPr>
            </w:pPr>
            <w:r>
              <w:rPr>
                <w:rFonts w:hint="default" w:ascii="Times New Roman" w:hAnsi="Times New Roman" w:eastAsia="仿宋" w:cs="Times New Roman"/>
                <w:b w:val="0"/>
                <w:bCs w:val="0"/>
                <w:kern w:val="0"/>
                <w:szCs w:val="21"/>
                <w:lang w:val="en-US" w:eastAsia="zh-CN" w:bidi="ar"/>
              </w:rPr>
              <w:t>4</w:t>
            </w:r>
            <w:r>
              <w:rPr>
                <w:rFonts w:hint="default" w:ascii="Times New Roman" w:hAnsi="Times New Roman" w:eastAsia="仿宋" w:cs="Times New Roman"/>
                <w:b w:val="0"/>
                <w:bCs w:val="0"/>
                <w:kern w:val="0"/>
                <w:szCs w:val="21"/>
                <w:lang w:bidi="ar"/>
              </w:rPr>
              <w:t>.严格建设项目土壤环境影响评价制度。对涉及有毒有害物质可能造成土壤污染的新（改、扩）建 项目，依法进行环境影响评价，提出并落实防腐蚀、防渗漏、防遗 撒等土壤污染防治具体措施。</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4812" w:hRule="atLeast"/>
        </w:trPr>
        <w:tc>
          <w:tcPr>
            <w:tcW w:w="643" w:type="pct"/>
            <w:vMerge w:val="continue"/>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439" w:type="pct"/>
            <w:vMerge w:val="restart"/>
            <w:shd w:val="clear" w:color="auto" w:fill="auto"/>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污染物排放管控</w:t>
            </w:r>
          </w:p>
        </w:tc>
        <w:tc>
          <w:tcPr>
            <w:tcW w:w="3917" w:type="pct"/>
            <w:shd w:val="clear" w:color="auto" w:fill="auto"/>
            <w:tcMar>
              <w:top w:w="57" w:type="dxa"/>
              <w:left w:w="85" w:type="dxa"/>
              <w:bottom w:w="57" w:type="dxa"/>
              <w:right w:w="85" w:type="dxa"/>
            </w:tcMar>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1.坚决遏制高耗能高排放项目盲目发展。严把高耗能高排放项目准入关口，严格落实污染物排放区域削减要求，对不符合规定的项目坚决停批停建。依法依规淘汰落后产能和化解过剩产能。</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强化VOCs全流程、全环节综合治理。鼓励储罐使用低泄漏的呼吸阀、紧急泄压阀，定期开展密封性检测。汽车罐车推广使用密封式快速接头。污水处理场所高浓度有机废气要单独收集处理；含VOCs有机废水储罐、装置区集水井（池）有机废气要密闭收集处理。</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eastAsia" w:ascii="Times New Roman" w:hAnsi="Times New Roman" w:eastAsia="仿宋" w:cs="Times New Roman"/>
                <w:b w:val="0"/>
                <w:bCs w:val="0"/>
                <w:kern w:val="0"/>
                <w:szCs w:val="21"/>
                <w:lang w:val="en-US" w:eastAsia="zh-CN" w:bidi="ar"/>
              </w:rPr>
            </w:pPr>
            <w:r>
              <w:rPr>
                <w:rFonts w:hint="default" w:ascii="Times New Roman" w:hAnsi="Times New Roman" w:eastAsia="仿宋" w:cs="Times New Roman"/>
                <w:b w:val="0"/>
                <w:bCs w:val="0"/>
                <w:kern w:val="0"/>
                <w:szCs w:val="21"/>
                <w:lang w:bidi="ar"/>
              </w:rPr>
              <w:t>3.推进大气污染防治协同控制。优化治理技术路线，加大氮氧化物、挥发性有机物（VOCs）以及温室气体协同减排力度。一体推进重点行业大气污染深度治理与节能降碳行动，推动钢铁、水泥、焦化行业及锅炉超低排放改造，探索开展大气污染物与温室气体排放协同控制改造提升工程试点。VOCs等大气污染物治理优先采用源头替代措施。推进大气污染治理设备节能降耗，提高设备自动化智能化运行水平。加强消耗臭氧层物质和氢氟碳化物管理，加快使用含氢氯氟烃生产线改造，逐步淘汰氢氯氟烃使用。推进移动源大气污染物排放和碳排放协同治理</w:t>
            </w:r>
            <w:r>
              <w:rPr>
                <w:rFonts w:hint="eastAsia" w:ascii="Times New Roman" w:hAnsi="Times New Roman" w:eastAsia="仿宋" w:cs="Times New Roman"/>
                <w:b w:val="0"/>
                <w:bCs w:val="0"/>
                <w:kern w:val="0"/>
                <w:szCs w:val="21"/>
                <w:lang w:eastAsia="zh-CN" w:bidi="ar"/>
              </w:rPr>
              <w:t>。</w:t>
            </w:r>
          </w:p>
          <w:p>
            <w:pPr>
              <w:keepNext w:val="0"/>
              <w:keepLines w:val="0"/>
              <w:pageBreakBefore w:val="0"/>
              <w:widowControl/>
              <w:numPr>
                <w:ilvl w:val="0"/>
                <w:numId w:val="0"/>
              </w:numPr>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val="en-US" w:eastAsia="zh-CN" w:bidi="ar"/>
              </w:rPr>
              <w:t>4.</w:t>
            </w:r>
            <w:r>
              <w:rPr>
                <w:rFonts w:hint="default" w:ascii="Times New Roman" w:hAnsi="Times New Roman" w:eastAsia="仿宋" w:cs="Times New Roman"/>
                <w:b w:val="0"/>
                <w:bCs w:val="0"/>
                <w:kern w:val="0"/>
                <w:szCs w:val="21"/>
                <w:lang w:bidi="ar"/>
              </w:rPr>
              <w:t>有下列情形之一的，环境保护主管部门应当暂停审批新增重点水污染物排放总量的建设项目的环境影响评价文件：</w:t>
            </w:r>
          </w:p>
          <w:p>
            <w:pPr>
              <w:keepNext w:val="0"/>
              <w:keepLines w:val="0"/>
              <w:pageBreakBefore w:val="0"/>
              <w:widowControl/>
              <w:numPr>
                <w:ilvl w:val="0"/>
                <w:numId w:val="0"/>
              </w:numPr>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 w:val="21"/>
                <w:szCs w:val="21"/>
                <w:lang w:val="en-US" w:eastAsia="zh-CN" w:bidi="ar"/>
              </w:rPr>
              <w:t>（1）</w:t>
            </w:r>
            <w:r>
              <w:rPr>
                <w:rFonts w:hint="default" w:ascii="Times New Roman" w:hAnsi="Times New Roman" w:eastAsia="仿宋" w:cs="Times New Roman"/>
                <w:b w:val="0"/>
                <w:bCs w:val="0"/>
                <w:kern w:val="0"/>
                <w:szCs w:val="21"/>
                <w:lang w:bidi="ar"/>
              </w:rPr>
              <w:t>未完成重点水污染物减排任务的；</w:t>
            </w:r>
          </w:p>
          <w:p>
            <w:pPr>
              <w:keepNext w:val="0"/>
              <w:keepLines w:val="0"/>
              <w:pageBreakBefore w:val="0"/>
              <w:widowControl/>
              <w:numPr>
                <w:ilvl w:val="0"/>
                <w:numId w:val="0"/>
              </w:numPr>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（2）未达到规定水环境质量目标的；</w:t>
            </w:r>
          </w:p>
          <w:p>
            <w:pPr>
              <w:keepNext w:val="0"/>
              <w:keepLines w:val="0"/>
              <w:pageBreakBefore w:val="0"/>
              <w:widowControl/>
              <w:numPr>
                <w:ilvl w:val="0"/>
                <w:numId w:val="0"/>
              </w:numPr>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（3）未完成限期达标规划的；</w:t>
            </w:r>
          </w:p>
          <w:p>
            <w:pPr>
              <w:keepNext w:val="0"/>
              <w:keepLines w:val="0"/>
              <w:pageBreakBefore w:val="0"/>
              <w:widowControl/>
              <w:numPr>
                <w:ilvl w:val="0"/>
                <w:numId w:val="0"/>
              </w:numPr>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（4）法律法规规定的其他情形。</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5.新建冶金、电镀、有色金属、化工、印染、制革、原料药制造等企业，原则上布局在符合产业定位的园区，其排放的污水由园区污水处理厂集中处理。</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6.开展湖滨带生态系统保护修复，提高环境容量和自净能力。在湖区及主要入湖河流等重点区域因地制宜建设生态缓冲带，降低开展利用强度。推进湖滨带、消落区等生态保护修复，在有条件的地区有序推进退耕还湖还湿，优化生态减污功能布局。</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7.完善工业园区污水集中处理设施，推动工业污染全面达标排放。加强农业面源污染治理，防治畜禽养殖污染。推进污染较重河流和城乡黑臭水体综合治理，加强入河排污口整治。</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8.对进水生化需氧量浓度低于100毫克/升的城市污水处理厂服务片区，实施“一厂一策”系统化整治。</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9.系统开展截污整治，严控城镇、工业、农业等废水直排。加快补齐城镇生活污水和垃圾处理设施短板弱项，在有条件的地方推进雨污分流。完善工业园区污水集中处理设施，推动工业污染全面达标排放。加强农业面源污染治理，防治畜禽养殖污染。推进污染较重河流和城乡黑臭水体综合治理，加强入河排污口整治。</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4570" w:hRule="atLeast"/>
        </w:trPr>
        <w:tc>
          <w:tcPr>
            <w:tcW w:w="643" w:type="pct"/>
            <w:vMerge w:val="continue"/>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439" w:type="pct"/>
            <w:vMerge w:val="restart"/>
            <w:shd w:val="clear" w:color="auto" w:fill="auto"/>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环境风险防控</w:t>
            </w:r>
          </w:p>
        </w:tc>
        <w:tc>
          <w:tcPr>
            <w:tcW w:w="3917" w:type="pct"/>
            <w:shd w:val="clear" w:color="auto" w:fill="auto"/>
            <w:tcMar>
              <w:top w:w="57" w:type="dxa"/>
              <w:left w:w="85" w:type="dxa"/>
              <w:bottom w:w="57" w:type="dxa"/>
              <w:right w:w="85" w:type="dxa"/>
            </w:tcMar>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1.强化对水源周边可能影响水源安全的制药、化工、造纸、采选、制革、印染、电镀、农药等重点行业企业的执法监管。</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督促“一企一库”“两场两区”采取防渗漏措施，按要求建设地下水环境监测井，开展地下水环境自行监测。指导地下水污染防治重点排污单位优先开展地下水污染渗漏排查，针对存在问题的设施，采取污染防渗改造措施。地方生态环境部门开展地下水污染防治重点排污单位周边地下水环境监测。</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针对存在地下水污染的化工产业为主导的工业集聚区、危险废物处置场和生活垃圾填埋场等，实施地下水污染风险管控，阻止污染扩散，加强风险管控后期环境监管。试点开展废弃矿井地下水污染防治、原地浸矿地下水污染风险管控，探索油气采出水回注地下水污染防治措施。</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对列入建设用地土壤污染风险管控和修复名录的地块，不得作为住宅、公共管理与公共服务用地；不得办理土地征收、收回、收购、土地供应以及改变土地用途等手续。依法应当开展土壤污染状况调查或风险评估而未开展或尚未完成的地块，以及未达到土壤污染风险评估报告确定的风险管控、修复目标的地块，不得开工建设与风险管控、修复无关的项目。</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5534" w:hRule="atLeast"/>
        </w:trPr>
        <w:tc>
          <w:tcPr>
            <w:tcW w:w="643" w:type="pct"/>
            <w:vMerge w:val="continue"/>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439" w:type="pct"/>
            <w:shd w:val="clear" w:color="auto" w:fill="auto"/>
            <w:tcMar>
              <w:top w:w="57" w:type="dxa"/>
              <w:left w:w="85" w:type="dxa"/>
              <w:bottom w:w="57" w:type="dxa"/>
              <w:right w:w="85" w:type="dxa"/>
            </w:tcMar>
            <w:vAlign w:val="center"/>
          </w:tcPr>
          <w:p>
            <w:pPr>
              <w:widowControl/>
              <w:adjustRightInd w:val="0"/>
              <w:snapToGrid w:val="0"/>
              <w:jc w:val="center"/>
              <w:textAlignment w:val="center"/>
              <w:rPr>
                <w:rFonts w:hint="eastAsia" w:ascii="Times New Roman" w:hAnsi="Times New Roman" w:eastAsia="仿宋" w:cs="Times New Roman"/>
                <w:b w:val="0"/>
                <w:bCs w:val="0"/>
                <w:kern w:val="0"/>
                <w:szCs w:val="21"/>
                <w:lang w:val="en-US" w:eastAsia="zh-CN" w:bidi="ar"/>
              </w:rPr>
            </w:pPr>
            <w:r>
              <w:rPr>
                <w:rFonts w:hint="default" w:ascii="Times New Roman" w:hAnsi="Times New Roman" w:eastAsia="仿宋" w:cs="Times New Roman"/>
                <w:b w:val="0"/>
                <w:bCs w:val="0"/>
                <w:kern w:val="0"/>
                <w:szCs w:val="21"/>
                <w:lang w:bidi="ar"/>
              </w:rPr>
              <w:t>资源利用效率</w:t>
            </w:r>
            <w:r>
              <w:rPr>
                <w:rFonts w:hint="eastAsia" w:ascii="Times New Roman" w:hAnsi="Times New Roman" w:eastAsia="仿宋" w:cs="Times New Roman"/>
                <w:b w:val="0"/>
                <w:bCs w:val="0"/>
                <w:kern w:val="0"/>
                <w:szCs w:val="21"/>
                <w:lang w:val="en-US" w:eastAsia="zh-CN" w:bidi="ar"/>
              </w:rPr>
              <w:t>要求</w:t>
            </w:r>
          </w:p>
        </w:tc>
        <w:tc>
          <w:tcPr>
            <w:tcW w:w="3917" w:type="pct"/>
            <w:shd w:val="clear" w:color="auto" w:fill="auto"/>
            <w:tcMar>
              <w:top w:w="57" w:type="dxa"/>
              <w:left w:w="85" w:type="dxa"/>
              <w:bottom w:w="57" w:type="dxa"/>
              <w:right w:w="85" w:type="dxa"/>
            </w:tcMar>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1.鼓励使用先进的节水技术、工艺、设备和产品,禁止生产、进口、销售、使用国家列入淘汰名录的节水技术、工艺、设备和产品。</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新建、改建、扩建工业园区应当统筹规划建设工业废水集中处理和回用设施，实现水循环梯级优化利用和废水集中处理回用，建设节水型工业园区；已建成的工业园区应当按照节水型工业园区标准，逐步改造。工业企业应当使用先进节约用水技术、工艺和设备，采取循环用水、综合利用等措施，降低用水消耗，提高水的重复利用率。工业生产的设备冷却水、空调冷却水、锅炉冷凝水等应当回收利用，直接排放的，按其工艺设计最大排放量核减其用水指标。</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要切实加强对能耗量较大特别是化石能源消费量大的项目的节能审查，与本地区能耗双控目标做好衔接，从源头严控新上项目能效水平，新上高耗能项目必须符合国家产业政策且能效达到行业先进水平。未达到能耗强度降低基本目标进度要求的地区，在节能审查等环节对高耗能项目缓批限批，新上高耗能项目须实行能耗等量减量替代。深化节能审查制度改革，加强节能审查事中事后监管，强化节能管理服务，实行闭环管理。</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各地要及时总结前期在重点领域能效摸底、技术改造实施方案制定、重点节能降碳项目推进等方面相关工作经验，结合重点领域能效水平范围拓展，根据当地产业发展条件，及时将新增领域纳入本地区重点领域节能降碳工作，做到统筹考虑、稳扎稳打、有序衔接、压茬推进。要不断优化完善本地区节能降碳技术改造实施方案，逐步建立动态更新调整机制，确保政策衔接有序，方案稳步实施，形成一批可借鉴、可复制、可推广的典型经验，扎实有序推动各重点领域节能降碳改造升级。</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1408" w:hRule="atLeast"/>
        </w:trPr>
        <w:tc>
          <w:tcPr>
            <w:tcW w:w="643" w:type="pct"/>
            <w:vMerge w:val="restart"/>
            <w:shd w:val="clear" w:color="auto" w:fill="auto"/>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一般管控单元</w:t>
            </w:r>
          </w:p>
        </w:tc>
        <w:tc>
          <w:tcPr>
            <w:tcW w:w="439" w:type="pct"/>
            <w:shd w:val="clear" w:color="auto" w:fill="auto"/>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布局要求</w:t>
            </w:r>
          </w:p>
        </w:tc>
        <w:tc>
          <w:tcPr>
            <w:tcW w:w="3917" w:type="pct"/>
            <w:shd w:val="clear" w:color="auto" w:fill="auto"/>
            <w:tcMar>
              <w:top w:w="57" w:type="dxa"/>
              <w:left w:w="85" w:type="dxa"/>
              <w:bottom w:w="57" w:type="dxa"/>
              <w:right w:w="85" w:type="dxa"/>
            </w:tcMar>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1.对国家明令淘汰的生产工艺技术、装备和产品，一律不得进口、转移、生产、销售、使用和采用。</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2.在永久基本农田集中区域，不得新建可能造成土壤污染的建设项目；已经建成的，应当限期关闭拆除。</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960" w:hRule="atLeast"/>
        </w:trPr>
        <w:tc>
          <w:tcPr>
            <w:tcW w:w="643" w:type="pct"/>
            <w:vMerge w:val="continue"/>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439" w:type="pct"/>
            <w:shd w:val="clear" w:color="auto" w:fill="auto"/>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污染物排放管控</w:t>
            </w:r>
          </w:p>
        </w:tc>
        <w:tc>
          <w:tcPr>
            <w:tcW w:w="3917" w:type="pct"/>
            <w:shd w:val="clear" w:color="auto" w:fill="auto"/>
            <w:tcMar>
              <w:top w:w="57" w:type="dxa"/>
              <w:left w:w="85" w:type="dxa"/>
              <w:bottom w:w="57" w:type="dxa"/>
              <w:right w:w="85" w:type="dxa"/>
            </w:tcMar>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企业事业单位和其他生产经营者排放污染物应当符合国家或者地方规定的污染物排放标准和重点污染物排放总量控制指标。</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43" w:type="pct"/>
            <w:vMerge w:val="continue"/>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439" w:type="pct"/>
            <w:shd w:val="clear" w:color="auto" w:fill="auto"/>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环境风险防控</w:t>
            </w:r>
          </w:p>
        </w:tc>
        <w:tc>
          <w:tcPr>
            <w:tcW w:w="3917" w:type="pct"/>
            <w:shd w:val="clear" w:color="auto" w:fill="auto"/>
            <w:tcMar>
              <w:top w:w="57" w:type="dxa"/>
              <w:left w:w="85" w:type="dxa"/>
              <w:bottom w:w="57" w:type="dxa"/>
              <w:right w:w="85" w:type="dxa"/>
            </w:tcMar>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排放污染物的企业事业单位和其他生产经营者应当建立生态环境保护责任制度，明确单位负责人和相关人员的责任，强化生态环境风险防范。</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643" w:type="pct"/>
            <w:vMerge w:val="continue"/>
            <w:tcMar>
              <w:top w:w="57" w:type="dxa"/>
              <w:left w:w="85" w:type="dxa"/>
              <w:bottom w:w="57" w:type="dxa"/>
              <w:right w:w="85" w:type="dxa"/>
            </w:tcMar>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439" w:type="pct"/>
            <w:shd w:val="clear" w:color="auto" w:fill="auto"/>
            <w:tcMar>
              <w:top w:w="57" w:type="dxa"/>
              <w:left w:w="85" w:type="dxa"/>
              <w:bottom w:w="57" w:type="dxa"/>
              <w:right w:w="85" w:type="dxa"/>
            </w:tcMar>
            <w:vAlign w:val="center"/>
          </w:tcPr>
          <w:p>
            <w:pPr>
              <w:widowControl/>
              <w:adjustRightInd w:val="0"/>
              <w:snapToGrid w:val="0"/>
              <w:jc w:val="center"/>
              <w:textAlignment w:val="center"/>
              <w:rPr>
                <w:rFonts w:hint="eastAsia" w:ascii="Times New Roman" w:hAnsi="Times New Roman" w:eastAsia="仿宋" w:cs="Times New Roman"/>
                <w:b w:val="0"/>
                <w:bCs w:val="0"/>
                <w:kern w:val="0"/>
                <w:szCs w:val="21"/>
                <w:lang w:val="en-US" w:eastAsia="zh-CN" w:bidi="ar"/>
              </w:rPr>
            </w:pPr>
            <w:r>
              <w:rPr>
                <w:rFonts w:hint="default" w:ascii="Times New Roman" w:hAnsi="Times New Roman" w:eastAsia="仿宋" w:cs="Times New Roman"/>
                <w:b w:val="0"/>
                <w:bCs w:val="0"/>
                <w:kern w:val="0"/>
                <w:szCs w:val="21"/>
                <w:lang w:bidi="ar"/>
              </w:rPr>
              <w:t>资源利用效率</w:t>
            </w:r>
            <w:r>
              <w:rPr>
                <w:rFonts w:hint="eastAsia" w:ascii="Times New Roman" w:hAnsi="Times New Roman" w:eastAsia="仿宋" w:cs="Times New Roman"/>
                <w:b w:val="0"/>
                <w:bCs w:val="0"/>
                <w:kern w:val="0"/>
                <w:szCs w:val="21"/>
                <w:lang w:val="en-US" w:eastAsia="zh-CN" w:bidi="ar"/>
              </w:rPr>
              <w:t>要求</w:t>
            </w:r>
          </w:p>
        </w:tc>
        <w:tc>
          <w:tcPr>
            <w:tcW w:w="3917" w:type="pct"/>
            <w:shd w:val="clear" w:color="auto" w:fill="auto"/>
            <w:tcMar>
              <w:top w:w="57" w:type="dxa"/>
              <w:left w:w="85" w:type="dxa"/>
              <w:bottom w:w="57" w:type="dxa"/>
              <w:right w:w="85" w:type="dxa"/>
            </w:tcMar>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实行区域用水总量和强度控制制度，建立省、市、县三级行政区域用水总量和强度控制指标体系。县级以上人民政府水行政主管部门应当依据本行政区域年度用水总量和强度控制指标，制定年度用水计划并组织实施。</w:t>
            </w:r>
          </w:p>
        </w:tc>
      </w:tr>
    </w:tbl>
    <w:p>
      <w:pPr>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br w:type="page"/>
      </w:r>
    </w:p>
    <w:p>
      <w:pPr>
        <w:wordWrap w:val="0"/>
        <w:spacing w:line="500" w:lineRule="exact"/>
        <w:outlineLvl w:val="0"/>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2.全省七分区管控要求</w:t>
      </w:r>
      <w:bookmarkEnd w:id="6"/>
    </w:p>
    <w:p>
      <w:pPr>
        <w:pStyle w:val="3"/>
        <w:keepNext w:val="0"/>
        <w:keepLines w:val="0"/>
        <w:numPr>
          <w:ilvl w:val="1"/>
          <w:numId w:val="0"/>
        </w:numPr>
        <w:wordWrap w:val="0"/>
        <w:spacing w:line="500" w:lineRule="exact"/>
        <w:rPr>
          <w:rFonts w:hint="default" w:ascii="Times New Roman" w:hAnsi="Times New Roman" w:eastAsia="仿宋" w:cs="Times New Roman"/>
          <w:b w:val="0"/>
          <w:bCs w:val="0"/>
          <w:sz w:val="30"/>
          <w:szCs w:val="30"/>
        </w:rPr>
      </w:pPr>
      <w:bookmarkStart w:id="8" w:name="_Toc5472_WPSOffice_Level2"/>
      <w:bookmarkStart w:id="9" w:name="_Toc17217"/>
      <w:bookmarkStart w:id="10" w:name="_Toc30563"/>
      <w:bookmarkStart w:id="11" w:name="_Toc31645"/>
      <w:bookmarkStart w:id="12" w:name="_Toc4552_WPSOffice_Level2"/>
      <w:bookmarkStart w:id="13" w:name="_Toc8083_WPSOffice_Level2"/>
      <w:bookmarkStart w:id="14" w:name="_Toc20048_WPSOffice_Level2"/>
      <w:bookmarkStart w:id="15" w:name="_Toc24176_WPSOffice_Level2"/>
      <w:bookmarkStart w:id="16" w:name="_Toc1843"/>
      <w:bookmarkStart w:id="17" w:name="_Toc23735_WPSOffice_Level2"/>
      <w:bookmarkStart w:id="18" w:name="_Toc3164"/>
      <w:bookmarkStart w:id="19" w:name="_Toc3266_WPSOffice_Level2"/>
      <w:bookmarkStart w:id="20" w:name="_Toc24080_WPSOffice_Level2"/>
      <w:bookmarkStart w:id="21" w:name="_Toc16514"/>
      <w:r>
        <w:rPr>
          <w:rFonts w:hint="default" w:ascii="Times New Roman" w:hAnsi="Times New Roman" w:eastAsia="仿宋_GB2312" w:cs="Times New Roman"/>
          <w:b w:val="0"/>
          <w:bCs w:val="0"/>
          <w:sz w:val="30"/>
          <w:szCs w:val="30"/>
        </w:rPr>
        <w:t>2.1黔西北水源涵养水土保持区管控要求</w:t>
      </w:r>
      <w:bookmarkEnd w:id="8"/>
      <w:bookmarkEnd w:id="9"/>
      <w:bookmarkEnd w:id="10"/>
      <w:bookmarkEnd w:id="11"/>
      <w:bookmarkEnd w:id="12"/>
      <w:bookmarkEnd w:id="13"/>
      <w:bookmarkEnd w:id="14"/>
    </w:p>
    <w:p>
      <w:pPr>
        <w:wordWrap w:val="0"/>
        <w:spacing w:line="500" w:lineRule="exact"/>
        <w:ind w:firstLine="482"/>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表2.1  黔西北水源涵养水土保持区管控要求</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9"/>
        <w:gridCol w:w="823"/>
        <w:gridCol w:w="69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463"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适用范围</w:t>
            </w:r>
          </w:p>
        </w:tc>
        <w:tc>
          <w:tcPr>
            <w:tcW w:w="483"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管控类型</w:t>
            </w:r>
          </w:p>
        </w:tc>
        <w:tc>
          <w:tcPr>
            <w:tcW w:w="4053" w:type="pct"/>
            <w:vAlign w:val="center"/>
          </w:tcPr>
          <w:p>
            <w:pPr>
              <w:pageBreakBefore w:val="0"/>
              <w:widowControl/>
              <w:kinsoku/>
              <w:wordWrap/>
              <w:overflowPunct/>
              <w:topLinePunct w:val="0"/>
              <w:autoSpaceDE/>
              <w:autoSpaceDN/>
              <w:bidi w:val="0"/>
              <w:adjustRightInd w:val="0"/>
              <w:snapToGrid w:val="0"/>
              <w:spacing w:line="300" w:lineRule="exact"/>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0" w:hRule="atLeast"/>
        </w:trPr>
        <w:tc>
          <w:tcPr>
            <w:tcW w:w="463" w:type="pct"/>
            <w:vMerge w:val="restar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bookmarkStart w:id="22" w:name="OLE_LINK14" w:colFirst="2" w:colLast="3"/>
            <w:r>
              <w:rPr>
                <w:rFonts w:hint="default" w:ascii="Times New Roman" w:hAnsi="Times New Roman" w:eastAsia="仿宋" w:cs="Times New Roman"/>
                <w:b w:val="0"/>
                <w:bCs w:val="0"/>
                <w:kern w:val="0"/>
                <w:szCs w:val="21"/>
                <w:lang w:bidi="ar"/>
              </w:rPr>
              <w:t>黔西北水源涵养水土保持区</w:t>
            </w:r>
          </w:p>
        </w:tc>
        <w:tc>
          <w:tcPr>
            <w:tcW w:w="483" w:type="pct"/>
            <w:vMerge w:val="restar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布局要求</w:t>
            </w:r>
          </w:p>
        </w:tc>
        <w:tc>
          <w:tcPr>
            <w:tcW w:w="4053" w:type="pct"/>
            <w:vAlign w:val="center"/>
          </w:tcPr>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1.禁止在长江干支流岸线一公里范围内新建、扩建化工园区和化工项目。</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禁止在长江干流岸线三公里范围内和重要支流岸线一公里范围内新建、改建、扩建尾矿库；但是以提升安全、生态环境保护水平为目的的改建除外。</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2.在草海保护区禁止下列行为：</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（1）堆放生活垃圾、弃置畜禽尸体；</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（2）堆放建筑垃圾、工业废渣、废旧物品；</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（3）排放有害物质或者污油、污水和废气；</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（4）砍伐、放牧、狩猎、捕捞、采药、毁草、开垦、烧荒、钻探、开矿、采泥炭、采石、挖砂；</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（5）围海造田、造鱼塘，网箱和栏网养鱼；</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（6）养殖大型牲畜；</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（7）未经保护区管理机构批准，船只进入草海水域；</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（8）破坏野生动物栖息繁殖地；</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（9）擅自引进外来物种；</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（10）生产、销售、使用含磷的洗涤剂、化肥和农药等有害物品；</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（11）擅自移动或者破坏草海保护区内界标、标识、监管设施。</w:t>
            </w:r>
          </w:p>
        </w:tc>
      </w:tr>
      <w:bookmarkEnd w:id="22"/>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0" w:hRule="atLeast"/>
        </w:trPr>
        <w:tc>
          <w:tcPr>
            <w:tcW w:w="463" w:type="pct"/>
            <w:vMerge w:val="continue"/>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483" w:type="pct"/>
            <w:vMerge w:val="restar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污染物排放管控</w:t>
            </w:r>
          </w:p>
        </w:tc>
        <w:tc>
          <w:tcPr>
            <w:tcW w:w="4053" w:type="pct"/>
            <w:vAlign w:val="center"/>
          </w:tcPr>
          <w:p>
            <w:pPr>
              <w:pStyle w:val="4"/>
              <w:pageBreakBefore w:val="0"/>
              <w:kinsoku/>
              <w:wordWrap/>
              <w:overflowPunct/>
              <w:topLinePunct w:val="0"/>
              <w:autoSpaceDE/>
              <w:autoSpaceDN/>
              <w:bidi w:val="0"/>
              <w:spacing w:line="300" w:lineRule="exact"/>
              <w:ind w:firstLine="420" w:firstLineChars="200"/>
              <w:jc w:val="both"/>
              <w:outlineLvl w:val="3"/>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1.禁止下列破坏湿地及其生态功能的行为：排放不符合水污染物排放标准的工业废水、生活污水及其他污染湿地的废水、污水，倾倒、堆放、丢弃、遗撒固体废物。</w:t>
            </w:r>
          </w:p>
          <w:p>
            <w:pPr>
              <w:pStyle w:val="4"/>
              <w:pageBreakBefore w:val="0"/>
              <w:kinsoku/>
              <w:wordWrap/>
              <w:overflowPunct/>
              <w:topLinePunct w:val="0"/>
              <w:autoSpaceDE/>
              <w:autoSpaceDN/>
              <w:bidi w:val="0"/>
              <w:spacing w:line="300" w:lineRule="exact"/>
              <w:ind w:firstLine="420" w:firstLineChars="200"/>
              <w:jc w:val="both"/>
              <w:outlineLvl w:val="3"/>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2.新建排放重点水污染物的工业项目应当进入开发区、工业园区等工业集聚区。鼓励和引导现有工业项目入驻工业集聚区。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0" w:hRule="atLeast"/>
        </w:trPr>
        <w:tc>
          <w:tcPr>
            <w:tcW w:w="463" w:type="pct"/>
            <w:vMerge w:val="continue"/>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bookmarkStart w:id="23" w:name="OLE_LINK2" w:colFirst="2" w:colLast="3"/>
          </w:p>
        </w:tc>
        <w:tc>
          <w:tcPr>
            <w:tcW w:w="483"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环境风险防控</w:t>
            </w:r>
          </w:p>
        </w:tc>
        <w:tc>
          <w:tcPr>
            <w:tcW w:w="4053" w:type="pct"/>
            <w:vAlign w:val="center"/>
          </w:tcPr>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1.禁止在长江流域河湖管理范围内倾倒、填埋、堆放、弃置、处理固体废物。长江流域县级以上地方人民政府应当加强对固体废物非法转移和倾倒的联防联控。</w:t>
            </w:r>
          </w:p>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自治县人民政府有关部门应当加强对草海生态环境和自然资源的保护，加强建设环湖林带、水源涵养林、防护林、风景林，有计划地退耕还林、还草、还湖、还湿，逐步恢复草海生态。建立保护投入机制和生态补偿机制，加大对草海生态建设的扶持力度。</w:t>
            </w:r>
          </w:p>
        </w:tc>
      </w:tr>
      <w:bookmarkEnd w:id="23"/>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63" w:type="pct"/>
            <w:vMerge w:val="continue"/>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483" w:type="pct"/>
            <w:vAlign w:val="center"/>
          </w:tcPr>
          <w:p>
            <w:pPr>
              <w:widowControl/>
              <w:adjustRightInd w:val="0"/>
              <w:snapToGrid w:val="0"/>
              <w:jc w:val="center"/>
              <w:textAlignment w:val="center"/>
              <w:rPr>
                <w:rFonts w:hint="eastAsia" w:ascii="Times New Roman" w:hAnsi="Times New Roman" w:eastAsia="仿宋" w:cs="Times New Roman"/>
                <w:b w:val="0"/>
                <w:bCs w:val="0"/>
                <w:kern w:val="0"/>
                <w:szCs w:val="21"/>
                <w:lang w:val="en-US" w:eastAsia="zh-CN" w:bidi="ar"/>
              </w:rPr>
            </w:pPr>
            <w:r>
              <w:rPr>
                <w:rFonts w:hint="default" w:ascii="Times New Roman" w:hAnsi="Times New Roman" w:eastAsia="仿宋" w:cs="Times New Roman"/>
                <w:b w:val="0"/>
                <w:bCs w:val="0"/>
                <w:kern w:val="0"/>
                <w:szCs w:val="21"/>
                <w:lang w:bidi="ar"/>
              </w:rPr>
              <w:t>资源利用效率</w:t>
            </w:r>
            <w:r>
              <w:rPr>
                <w:rFonts w:hint="eastAsia" w:ascii="Times New Roman" w:hAnsi="Times New Roman" w:eastAsia="仿宋" w:cs="Times New Roman"/>
                <w:b w:val="0"/>
                <w:bCs w:val="0"/>
                <w:kern w:val="0"/>
                <w:szCs w:val="21"/>
                <w:lang w:val="en-US" w:eastAsia="zh-CN" w:bidi="ar"/>
              </w:rPr>
              <w:t>要求</w:t>
            </w:r>
          </w:p>
        </w:tc>
        <w:tc>
          <w:tcPr>
            <w:tcW w:w="4053" w:type="pct"/>
            <w:shd w:val="clear" w:color="auto" w:fill="auto"/>
            <w:vAlign w:val="center"/>
          </w:tcPr>
          <w:p>
            <w:pPr>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县级以上人民政府应当采取措施降低用水消耗，推广节水型器具，提高用水效率和综合利用雨水；加强城市污水集中处理，提高再生水回用率。新建、扩建、改建建设项目，应当配套建设节约用水设施，节约用水设施应当与主体工程同时设计、同时施工、同时投产。</w:t>
            </w:r>
          </w:p>
        </w:tc>
      </w:tr>
    </w:tbl>
    <w:p>
      <w:pPr>
        <w:rPr>
          <w:rFonts w:hint="default" w:ascii="Times New Roman" w:hAnsi="Times New Roman" w:cs="Times New Roman"/>
          <w:b w:val="0"/>
          <w:bCs w:val="0"/>
        </w:rPr>
      </w:pPr>
    </w:p>
    <w:p>
      <w:pPr>
        <w:pStyle w:val="3"/>
        <w:keepNext w:val="0"/>
        <w:keepLines w:val="0"/>
        <w:numPr>
          <w:ilvl w:val="1"/>
          <w:numId w:val="0"/>
        </w:numPr>
        <w:wordWrap w:val="0"/>
        <w:spacing w:line="500" w:lineRule="exact"/>
        <w:rPr>
          <w:rFonts w:hint="default" w:ascii="Times New Roman" w:hAnsi="Times New Roman" w:eastAsia="仿宋_GB2312" w:cs="Times New Roman"/>
          <w:b w:val="0"/>
          <w:bCs w:val="0"/>
          <w:sz w:val="30"/>
          <w:szCs w:val="30"/>
        </w:rPr>
        <w:sectPr>
          <w:footerReference r:id="rId5" w:type="default"/>
          <w:pgSz w:w="11906" w:h="16838"/>
          <w:pgMar w:top="1440" w:right="1800" w:bottom="1440" w:left="1800" w:header="851" w:footer="992" w:gutter="0"/>
          <w:pgNumType w:fmt="decimal"/>
          <w:cols w:space="720" w:num="1"/>
          <w:docGrid w:type="lines" w:linePitch="312" w:charSpace="0"/>
        </w:sectPr>
      </w:pPr>
    </w:p>
    <w:p>
      <w:pPr>
        <w:pStyle w:val="3"/>
        <w:keepNext w:val="0"/>
        <w:keepLines w:val="0"/>
        <w:numPr>
          <w:ilvl w:val="1"/>
          <w:numId w:val="0"/>
        </w:numPr>
        <w:wordWrap w:val="0"/>
        <w:spacing w:line="500" w:lineRule="exact"/>
        <w:rPr>
          <w:rFonts w:hint="default" w:ascii="Times New Roman" w:hAnsi="Times New Roman" w:eastAsia="仿宋_GB2312" w:cs="Times New Roman"/>
          <w:b w:val="0"/>
          <w:bCs w:val="0"/>
          <w:sz w:val="30"/>
          <w:szCs w:val="30"/>
        </w:rPr>
      </w:pPr>
      <w:r>
        <w:rPr>
          <w:rFonts w:hint="default" w:ascii="Times New Roman" w:hAnsi="Times New Roman" w:eastAsia="仿宋_GB2312" w:cs="Times New Roman"/>
          <w:b w:val="0"/>
          <w:bCs w:val="0"/>
          <w:sz w:val="30"/>
          <w:szCs w:val="30"/>
        </w:rPr>
        <w:t>2.2毕水兴资源能源富集区管控要求</w:t>
      </w:r>
    </w:p>
    <w:p>
      <w:pPr>
        <w:wordWrap w:val="0"/>
        <w:spacing w:line="500" w:lineRule="exact"/>
        <w:ind w:firstLine="482"/>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表2.2  毕水兴资源能源富集区管控要求</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7"/>
        <w:gridCol w:w="1002"/>
        <w:gridCol w:w="6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450"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适用范围</w:t>
            </w:r>
          </w:p>
        </w:tc>
        <w:tc>
          <w:tcPr>
            <w:tcW w:w="588"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管控</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类型</w:t>
            </w:r>
          </w:p>
        </w:tc>
        <w:tc>
          <w:tcPr>
            <w:tcW w:w="3961"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5" w:hRule="atLeast"/>
        </w:trPr>
        <w:tc>
          <w:tcPr>
            <w:tcW w:w="450" w:type="pct"/>
            <w:vMerge w:val="restart"/>
            <w:vAlign w:val="center"/>
          </w:tcPr>
          <w:p>
            <w:pPr>
              <w:widowControl/>
              <w:adjustRightInd w:val="0"/>
              <w:snapToGrid w:val="0"/>
              <w:jc w:val="center"/>
              <w:textAlignment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毕水兴资源能源富集区</w:t>
            </w:r>
          </w:p>
        </w:tc>
        <w:tc>
          <w:tcPr>
            <w:tcW w:w="588" w:type="pct"/>
            <w:vMerge w:val="restart"/>
            <w:vAlign w:val="center"/>
          </w:tcPr>
          <w:p>
            <w:pPr>
              <w:widowControl/>
              <w:adjustRightInd w:val="0"/>
              <w:snapToGrid w:val="0"/>
              <w:jc w:val="center"/>
              <w:textAlignment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布局</w:t>
            </w:r>
          </w:p>
          <w:p>
            <w:pPr>
              <w:widowControl/>
              <w:adjustRightInd w:val="0"/>
              <w:snapToGrid w:val="0"/>
              <w:jc w:val="center"/>
              <w:textAlignment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要求</w:t>
            </w:r>
          </w:p>
        </w:tc>
        <w:tc>
          <w:tcPr>
            <w:tcW w:w="3961" w:type="pct"/>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1.在集中供热管网覆盖地区，禁止新建、扩建分散燃煤供热锅炉。</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防范工矿企业新增土壤污染。严格执行建设项目土壤环境影响评价制度。对涉及有毒有害物质可能造成土壤污染的新（改、扩）建项目，依法进行环境影响评价，提出并落实防腐蚀、防渗漏、防遗撒等土壤污染防治具体措施。</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3.禁止在城市规划区内新建改建扩建水泥、煤化工、燃煤火电、焦化、金属冶炼、陶瓷等大气污染严重的产业项目。禁止引进严重污染大气环境的落后生产工艺、落后设备。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5" w:hRule="atLeast"/>
        </w:trPr>
        <w:tc>
          <w:tcPr>
            <w:tcW w:w="450" w:type="pct"/>
            <w:vMerge w:val="continue"/>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588"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污染物排放管控</w:t>
            </w:r>
          </w:p>
        </w:tc>
        <w:tc>
          <w:tcPr>
            <w:tcW w:w="3961" w:type="pct"/>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按照实施乡村振兴战略总要求，强化源头减量、循环利用、污染治理、生态保护，推进农业面源污染防治，加大农村生活污水治理力度，稳步解决“垃圾围村”、农村黑臭水体等突出环境问题，深入打好农业农村污染治理攻坚战。</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2.有下列情形之一的，环境保护主管部门应当暂停审批新增重点水污染物排放总量的建设项目的环境影响评价文件：</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（1）未完成重点水污染物减排任务的；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（2）未达到规定水环境质量目标的；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（3）未完成限期达标规划的；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（4）法律法规规定的其他情形。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trPr>
        <w:tc>
          <w:tcPr>
            <w:tcW w:w="450" w:type="pct"/>
            <w:vMerge w:val="continue"/>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588"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环境风险防控</w:t>
            </w:r>
          </w:p>
        </w:tc>
        <w:tc>
          <w:tcPr>
            <w:tcW w:w="3961" w:type="pct"/>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县级以上人民政府及其有关部门，以及可能发生水污染事件的企业事业单位和其他生产经营者应当采取有效措施依法做好突发水污染事件的风险防范、监控预警和应急处置等工作，加强突发水污染事件应急能力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0" w:hRule="atLeast"/>
        </w:trPr>
        <w:tc>
          <w:tcPr>
            <w:tcW w:w="450" w:type="pct"/>
            <w:vMerge w:val="continue"/>
            <w:vAlign w:val="center"/>
          </w:tcPr>
          <w:p>
            <w:pPr>
              <w:widowControl/>
              <w:adjustRightInd w:val="0"/>
              <w:snapToGrid w:val="0"/>
              <w:jc w:val="left"/>
              <w:textAlignment w:val="center"/>
              <w:rPr>
                <w:rFonts w:hint="default" w:ascii="Times New Roman" w:hAnsi="Times New Roman" w:eastAsia="仿宋" w:cs="Times New Roman"/>
                <w:b w:val="0"/>
                <w:bCs w:val="0"/>
                <w:kern w:val="0"/>
                <w:szCs w:val="21"/>
                <w:lang w:bidi="ar"/>
              </w:rPr>
            </w:pPr>
          </w:p>
        </w:tc>
        <w:tc>
          <w:tcPr>
            <w:tcW w:w="588" w:type="pct"/>
            <w:vAlign w:val="center"/>
          </w:tcPr>
          <w:p>
            <w:pPr>
              <w:widowControl/>
              <w:adjustRightInd w:val="0"/>
              <w:snapToGrid w:val="0"/>
              <w:jc w:val="center"/>
              <w:textAlignment w:val="center"/>
              <w:rPr>
                <w:rFonts w:hint="eastAsia" w:ascii="Times New Roman" w:hAnsi="Times New Roman" w:eastAsia="仿宋" w:cs="Times New Roman"/>
                <w:b w:val="0"/>
                <w:bCs w:val="0"/>
                <w:kern w:val="0"/>
                <w:szCs w:val="21"/>
                <w:lang w:val="en-US" w:eastAsia="zh-CN" w:bidi="ar"/>
              </w:rPr>
            </w:pPr>
            <w:r>
              <w:rPr>
                <w:rFonts w:hint="default" w:ascii="Times New Roman" w:hAnsi="Times New Roman" w:eastAsia="仿宋" w:cs="Times New Roman"/>
                <w:b w:val="0"/>
                <w:bCs w:val="0"/>
                <w:kern w:val="0"/>
                <w:szCs w:val="21"/>
                <w:lang w:bidi="ar"/>
              </w:rPr>
              <w:t>资源利用效率</w:t>
            </w:r>
            <w:r>
              <w:rPr>
                <w:rFonts w:hint="eastAsia" w:ascii="Times New Roman" w:hAnsi="Times New Roman" w:eastAsia="仿宋" w:cs="Times New Roman"/>
                <w:b w:val="0"/>
                <w:bCs w:val="0"/>
                <w:kern w:val="0"/>
                <w:szCs w:val="21"/>
                <w:lang w:val="en-US" w:eastAsia="zh-CN" w:bidi="ar"/>
              </w:rPr>
              <w:t>要求</w:t>
            </w:r>
          </w:p>
        </w:tc>
        <w:tc>
          <w:tcPr>
            <w:tcW w:w="3961" w:type="pct"/>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1.统筹资源能源开发与保护。按照资源型地区资源环境特征，强化国土空间规划和用途管制，落实永久基本农田、生态保护红线、城镇开发边界等空间管控边界，确保资源能源的有序开发利用和保护。</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szCs w:val="21"/>
              </w:rPr>
              <w:t>2.严格控制化石能源消费。加快煤炭减量步伐，“十四五”时期严控煤炭消费增长，“十五五”时期逐步减少。石油消费“十五五”时期进入峰值平台期。统筹煤电发展和保供调峰，严控煤电装机规模，加快现役煤电机组节能升级和灵活性改造。逐步减少直至禁止煤炭散烧。</w:t>
            </w:r>
          </w:p>
        </w:tc>
      </w:tr>
    </w:tbl>
    <w:p>
      <w:pPr>
        <w:rPr>
          <w:rFonts w:hint="default" w:ascii="Times New Roman" w:hAnsi="Times New Roman" w:cs="Times New Roman"/>
          <w:b w:val="0"/>
          <w:bCs w:val="0"/>
        </w:rPr>
      </w:pPr>
    </w:p>
    <w:p>
      <w:pPr>
        <w:pStyle w:val="3"/>
        <w:numPr>
          <w:ilvl w:val="1"/>
          <w:numId w:val="0"/>
        </w:numPr>
        <w:wordWrap w:val="0"/>
        <w:spacing w:line="500" w:lineRule="exact"/>
        <w:rPr>
          <w:rFonts w:hint="default" w:ascii="Times New Roman" w:hAnsi="Times New Roman" w:eastAsia="仿宋_GB2312" w:cs="Times New Roman"/>
          <w:b w:val="0"/>
          <w:bCs w:val="0"/>
          <w:sz w:val="30"/>
          <w:szCs w:val="30"/>
        </w:rPr>
        <w:sectPr>
          <w:pgSz w:w="11906" w:h="16838"/>
          <w:pgMar w:top="1440" w:right="1800" w:bottom="1440" w:left="1800" w:header="851" w:footer="992" w:gutter="0"/>
          <w:pgNumType w:fmt="decimal"/>
          <w:cols w:space="720" w:num="1"/>
          <w:docGrid w:type="lines" w:linePitch="312" w:charSpace="0"/>
        </w:sectPr>
      </w:pPr>
    </w:p>
    <w:p>
      <w:pPr>
        <w:pStyle w:val="3"/>
        <w:numPr>
          <w:ilvl w:val="1"/>
          <w:numId w:val="0"/>
        </w:numPr>
        <w:wordWrap w:val="0"/>
        <w:spacing w:line="500" w:lineRule="exact"/>
        <w:rPr>
          <w:rFonts w:hint="default" w:ascii="Times New Roman" w:hAnsi="Times New Roman" w:eastAsia="仿宋_GB2312" w:cs="Times New Roman"/>
          <w:b w:val="0"/>
          <w:bCs w:val="0"/>
          <w:sz w:val="30"/>
          <w:szCs w:val="30"/>
        </w:rPr>
      </w:pPr>
      <w:r>
        <w:rPr>
          <w:rFonts w:hint="default" w:ascii="Times New Roman" w:hAnsi="Times New Roman" w:eastAsia="仿宋_GB2312" w:cs="Times New Roman"/>
          <w:b w:val="0"/>
          <w:bCs w:val="0"/>
          <w:sz w:val="30"/>
          <w:szCs w:val="30"/>
        </w:rPr>
        <w:t>2.3黔南石漠化敏感区管控要求</w:t>
      </w:r>
      <w:bookmarkEnd w:id="15"/>
      <w:bookmarkEnd w:id="16"/>
      <w:bookmarkEnd w:id="17"/>
      <w:bookmarkEnd w:id="18"/>
      <w:bookmarkEnd w:id="19"/>
      <w:bookmarkEnd w:id="20"/>
      <w:bookmarkEnd w:id="21"/>
    </w:p>
    <w:p>
      <w:pPr>
        <w:wordWrap w:val="0"/>
        <w:spacing w:line="500" w:lineRule="exact"/>
        <w:ind w:firstLine="482"/>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表2.3  黔南石漠化敏感区管控要求</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5"/>
        <w:gridCol w:w="1050"/>
        <w:gridCol w:w="6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402"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适用范围</w:t>
            </w:r>
          </w:p>
        </w:tc>
        <w:tc>
          <w:tcPr>
            <w:tcW w:w="616"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管控</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类型</w:t>
            </w:r>
          </w:p>
        </w:tc>
        <w:tc>
          <w:tcPr>
            <w:tcW w:w="3981"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eastAsia="zh-CN" w:bidi="ar"/>
              </w:rPr>
              <w:t>管控</w:t>
            </w:r>
            <w:r>
              <w:rPr>
                <w:rFonts w:hint="default" w:ascii="Times New Roman" w:hAnsi="Times New Roman" w:eastAsia="仿宋" w:cs="Times New Roman"/>
                <w:b w:val="0"/>
                <w:bCs w:val="0"/>
                <w:kern w:val="0"/>
                <w:szCs w:val="21"/>
                <w:lang w:bidi="ar"/>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0" w:hRule="atLeast"/>
        </w:trPr>
        <w:tc>
          <w:tcPr>
            <w:tcW w:w="402" w:type="pct"/>
            <w:vMerge w:val="restar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黔南石漠化敏感区</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616"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布局</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要求</w:t>
            </w:r>
          </w:p>
        </w:tc>
        <w:tc>
          <w:tcPr>
            <w:tcW w:w="3981" w:type="pct"/>
            <w:vAlign w:val="center"/>
          </w:tcPr>
          <w:p>
            <w:pPr>
              <w:keepNext w:val="0"/>
              <w:keepLines w:val="0"/>
              <w:pageBreakBefore w:val="0"/>
              <w:widowControl w:val="0"/>
              <w:kinsoku/>
              <w:wordWrap w:val="0"/>
              <w:overflowPunct/>
              <w:topLinePunct w:val="0"/>
              <w:autoSpaceDE/>
              <w:autoSpaceDN/>
              <w:bidi w:val="0"/>
              <w:adjustRightInd/>
              <w:snapToGrid w:val="0"/>
              <w:spacing w:line="300" w:lineRule="exact"/>
              <w:ind w:firstLine="420" w:firstLineChars="200"/>
              <w:textAlignment w:val="auto"/>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1.县级以上人民政府水行政主管部门应当加强取土、挖砂、采石等活动的水土保持监督管理工作，预防和减轻水土流失。</w:t>
            </w:r>
          </w:p>
          <w:p>
            <w:pPr>
              <w:keepNext w:val="0"/>
              <w:keepLines w:val="0"/>
              <w:pageBreakBefore w:val="0"/>
              <w:widowControl w:val="0"/>
              <w:kinsoku/>
              <w:wordWrap w:val="0"/>
              <w:overflowPunct/>
              <w:topLinePunct w:val="0"/>
              <w:autoSpaceDE/>
              <w:autoSpaceDN/>
              <w:bidi w:val="0"/>
              <w:adjustRightInd/>
              <w:snapToGrid w:val="0"/>
              <w:spacing w:line="300" w:lineRule="exact"/>
              <w:ind w:firstLine="420" w:firstLineChars="200"/>
              <w:textAlignment w:val="auto"/>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2.禁止开垦二十五度以上陡坡地种植农作物。禁止在林地、山坡地滥取地表土。</w:t>
            </w:r>
          </w:p>
          <w:p>
            <w:pPr>
              <w:keepNext w:val="0"/>
              <w:keepLines w:val="0"/>
              <w:pageBreakBefore w:val="0"/>
              <w:widowControl w:val="0"/>
              <w:kinsoku/>
              <w:wordWrap w:val="0"/>
              <w:overflowPunct/>
              <w:topLinePunct w:val="0"/>
              <w:autoSpaceDE/>
              <w:autoSpaceDN/>
              <w:bidi w:val="0"/>
              <w:adjustRightInd/>
              <w:snapToGrid w:val="0"/>
              <w:spacing w:line="300" w:lineRule="exact"/>
              <w:ind w:firstLine="420" w:firstLineChars="200"/>
              <w:textAlignment w:val="auto"/>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3.新建排放重点水污染物的工业项目应当进入开发区、工业园区等工业集聚区。鼓励和引导现有工业项目入驻工业集聚区。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5" w:hRule="atLeast"/>
        </w:trPr>
        <w:tc>
          <w:tcPr>
            <w:tcW w:w="402" w:type="pct"/>
            <w:vMerge w:val="continue"/>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616"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污染物排放管控</w:t>
            </w:r>
          </w:p>
        </w:tc>
        <w:tc>
          <w:tcPr>
            <w:tcW w:w="3981" w:type="pct"/>
            <w:vAlign w:val="center"/>
          </w:tcPr>
          <w:p>
            <w:pPr>
              <w:keepNext w:val="0"/>
              <w:keepLines w:val="0"/>
              <w:pageBreakBefore w:val="0"/>
              <w:widowControl w:val="0"/>
              <w:kinsoku/>
              <w:wordWrap w:val="0"/>
              <w:overflowPunct/>
              <w:topLinePunct w:val="0"/>
              <w:autoSpaceDE/>
              <w:autoSpaceDN/>
              <w:bidi w:val="0"/>
              <w:adjustRightInd/>
              <w:snapToGrid w:val="0"/>
              <w:spacing w:line="300" w:lineRule="exact"/>
              <w:ind w:firstLine="420" w:firstLineChars="200"/>
              <w:textAlignment w:val="auto"/>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1.从事畜禽养殖活动和畜禽养殖废弃物处理活动，应当及时对畜禽粪便、畜禽尸体、污水等进行收集、贮存、清运。</w:t>
            </w:r>
          </w:p>
          <w:p>
            <w:pPr>
              <w:keepNext w:val="0"/>
              <w:keepLines w:val="0"/>
              <w:pageBreakBefore w:val="0"/>
              <w:widowControl w:val="0"/>
              <w:kinsoku/>
              <w:wordWrap w:val="0"/>
              <w:overflowPunct/>
              <w:topLinePunct w:val="0"/>
              <w:autoSpaceDE/>
              <w:autoSpaceDN/>
              <w:bidi w:val="0"/>
              <w:adjustRightInd/>
              <w:snapToGrid w:val="0"/>
              <w:spacing w:line="300" w:lineRule="exact"/>
              <w:ind w:firstLine="420" w:firstLineChars="200"/>
              <w:textAlignment w:val="auto"/>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2.畜禽养殖场、养殖小区向环境排放经过处理的畜禽养殖废弃物，应当符合国家和本省规定的污染物排放标准和总量控制指标。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5" w:hRule="atLeast"/>
        </w:trPr>
        <w:tc>
          <w:tcPr>
            <w:tcW w:w="402" w:type="pct"/>
            <w:vMerge w:val="continue"/>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616"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环境风险防控</w:t>
            </w:r>
          </w:p>
        </w:tc>
        <w:tc>
          <w:tcPr>
            <w:tcW w:w="3981" w:type="pct"/>
            <w:vAlign w:val="center"/>
          </w:tcPr>
          <w:p>
            <w:pPr>
              <w:keepNext w:val="0"/>
              <w:keepLines w:val="0"/>
              <w:pageBreakBefore w:val="0"/>
              <w:widowControl w:val="0"/>
              <w:kinsoku/>
              <w:wordWrap w:val="0"/>
              <w:overflowPunct/>
              <w:topLinePunct w:val="0"/>
              <w:autoSpaceDE/>
              <w:autoSpaceDN/>
              <w:bidi w:val="0"/>
              <w:adjustRightInd/>
              <w:snapToGrid w:val="0"/>
              <w:spacing w:line="300" w:lineRule="exact"/>
              <w:ind w:firstLine="420" w:firstLineChars="200"/>
              <w:textAlignment w:val="auto"/>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1.治理水土流失，应当以小流域为单元，植物措施、工程措施、保土耕作措施合理配置，山、水、林、田、路、村综合治理，统筹兼顾，构建水土流失综合防治体系。</w:t>
            </w:r>
          </w:p>
          <w:p>
            <w:pPr>
              <w:keepNext w:val="0"/>
              <w:keepLines w:val="0"/>
              <w:pageBreakBefore w:val="0"/>
              <w:widowControl w:val="0"/>
              <w:kinsoku/>
              <w:wordWrap w:val="0"/>
              <w:overflowPunct/>
              <w:topLinePunct w:val="0"/>
              <w:autoSpaceDE/>
              <w:autoSpaceDN/>
              <w:bidi w:val="0"/>
              <w:adjustRightInd/>
              <w:snapToGrid w:val="0"/>
              <w:spacing w:line="300" w:lineRule="exact"/>
              <w:ind w:firstLine="420" w:firstLineChars="200"/>
              <w:textAlignment w:val="auto"/>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2.对可能造成严重水土流失的大中型生产建设项目，生产建设单位应当自行或者委托具备水土保持监测资质的机构，对生产建设活动造成的水土流失进行监测，并将监测情况按季度上报当地水行政主管部门。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402" w:type="pct"/>
            <w:vMerge w:val="continue"/>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bookmarkStart w:id="24" w:name="_Toc10951"/>
          </w:p>
        </w:tc>
        <w:tc>
          <w:tcPr>
            <w:tcW w:w="616" w:type="pct"/>
            <w:vAlign w:val="center"/>
          </w:tcPr>
          <w:p>
            <w:pPr>
              <w:widowControl/>
              <w:adjustRightInd w:val="0"/>
              <w:snapToGrid w:val="0"/>
              <w:jc w:val="center"/>
              <w:textAlignment w:val="center"/>
              <w:rPr>
                <w:rFonts w:hint="eastAsia" w:ascii="Times New Roman" w:hAnsi="Times New Roman" w:eastAsia="仿宋" w:cs="Times New Roman"/>
                <w:b w:val="0"/>
                <w:bCs w:val="0"/>
                <w:kern w:val="0"/>
                <w:szCs w:val="21"/>
                <w:lang w:val="en-US" w:eastAsia="zh-CN" w:bidi="ar"/>
              </w:rPr>
            </w:pPr>
            <w:r>
              <w:rPr>
                <w:rFonts w:hint="default" w:ascii="Times New Roman" w:hAnsi="Times New Roman" w:eastAsia="仿宋" w:cs="Times New Roman"/>
                <w:b w:val="0"/>
                <w:bCs w:val="0"/>
                <w:kern w:val="0"/>
                <w:szCs w:val="21"/>
                <w:lang w:bidi="ar"/>
              </w:rPr>
              <w:t>资源利用效率</w:t>
            </w:r>
            <w:r>
              <w:rPr>
                <w:rFonts w:hint="eastAsia" w:ascii="Times New Roman" w:hAnsi="Times New Roman" w:eastAsia="仿宋" w:cs="Times New Roman"/>
                <w:b w:val="0"/>
                <w:bCs w:val="0"/>
                <w:kern w:val="0"/>
                <w:szCs w:val="21"/>
                <w:lang w:val="en-US" w:eastAsia="zh-CN" w:bidi="ar"/>
              </w:rPr>
              <w:t>要求</w:t>
            </w:r>
          </w:p>
        </w:tc>
        <w:tc>
          <w:tcPr>
            <w:tcW w:w="3981" w:type="pct"/>
            <w:shd w:val="clear" w:color="auto" w:fill="auto"/>
            <w:vAlign w:val="center"/>
          </w:tcPr>
          <w:p>
            <w:pPr>
              <w:keepNext w:val="0"/>
              <w:keepLines w:val="0"/>
              <w:pageBreakBefore w:val="0"/>
              <w:widowControl w:val="0"/>
              <w:kinsoku/>
              <w:wordWrap w:val="0"/>
              <w:overflowPunct/>
              <w:topLinePunct w:val="0"/>
              <w:autoSpaceDE/>
              <w:autoSpaceDN/>
              <w:bidi w:val="0"/>
              <w:adjustRightInd/>
              <w:snapToGrid w:val="0"/>
              <w:spacing w:line="300" w:lineRule="exact"/>
              <w:ind w:firstLine="420" w:firstLineChars="200"/>
              <w:textAlignment w:val="auto"/>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生产建设活动中排弃的砂、石、土、矸石、尾矿、废渣等应当综合利用，合理调配，减少废弃物排放。</w:t>
            </w:r>
          </w:p>
        </w:tc>
      </w:tr>
    </w:tbl>
    <w:p>
      <w:pPr>
        <w:rPr>
          <w:rFonts w:hint="default" w:ascii="Times New Roman" w:hAnsi="Times New Roman" w:cs="Times New Roman"/>
          <w:b w:val="0"/>
          <w:bCs w:val="0"/>
        </w:rPr>
      </w:pPr>
    </w:p>
    <w:p>
      <w:pPr>
        <w:wordWrap w:val="0"/>
        <w:spacing w:line="500" w:lineRule="exact"/>
        <w:outlineLvl w:val="1"/>
        <w:rPr>
          <w:rFonts w:hint="default" w:ascii="Times New Roman" w:hAnsi="Times New Roman" w:eastAsia="仿宋_GB2312" w:cs="Times New Roman"/>
          <w:b w:val="0"/>
          <w:bCs w:val="0"/>
          <w:sz w:val="30"/>
          <w:szCs w:val="30"/>
        </w:rPr>
        <w:sectPr>
          <w:pgSz w:w="11906" w:h="16838"/>
          <w:pgMar w:top="1440" w:right="1800" w:bottom="1440" w:left="1800" w:header="851" w:footer="992" w:gutter="0"/>
          <w:pgNumType w:fmt="decimal"/>
          <w:cols w:space="720" w:num="1"/>
          <w:docGrid w:type="lines" w:linePitch="312" w:charSpace="0"/>
        </w:sectPr>
      </w:pPr>
      <w:bookmarkStart w:id="25" w:name="_Toc5641_WPSOffice_Level2"/>
      <w:bookmarkStart w:id="26" w:name="_Toc13245"/>
      <w:bookmarkStart w:id="27" w:name="_Toc27193"/>
      <w:bookmarkStart w:id="28" w:name="_Toc16954"/>
      <w:bookmarkStart w:id="29" w:name="_Toc22645165"/>
    </w:p>
    <w:p>
      <w:pPr>
        <w:wordWrap w:val="0"/>
        <w:spacing w:line="500" w:lineRule="exact"/>
        <w:outlineLvl w:val="1"/>
        <w:rPr>
          <w:rFonts w:hint="default" w:ascii="Times New Roman" w:hAnsi="Times New Roman" w:eastAsia="仿宋_GB2312" w:cs="Times New Roman"/>
          <w:b w:val="0"/>
          <w:bCs w:val="0"/>
          <w:sz w:val="30"/>
          <w:szCs w:val="30"/>
        </w:rPr>
      </w:pPr>
      <w:r>
        <w:rPr>
          <w:rFonts w:hint="default" w:ascii="Times New Roman" w:hAnsi="Times New Roman" w:eastAsia="仿宋_GB2312" w:cs="Times New Roman"/>
          <w:b w:val="0"/>
          <w:bCs w:val="0"/>
          <w:sz w:val="30"/>
          <w:szCs w:val="30"/>
        </w:rPr>
        <w:t>2.4黔中经济区管控要求</w:t>
      </w:r>
    </w:p>
    <w:p>
      <w:pPr>
        <w:wordWrap w:val="0"/>
        <w:spacing w:line="500" w:lineRule="exact"/>
        <w:ind w:firstLine="482"/>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表2.4  黔中经济区管控要求</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9"/>
        <w:gridCol w:w="815"/>
        <w:gridCol w:w="6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blHeader/>
        </w:trPr>
        <w:tc>
          <w:tcPr>
            <w:tcW w:w="46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适用范围</w:t>
            </w:r>
          </w:p>
        </w:tc>
        <w:tc>
          <w:tcPr>
            <w:tcW w:w="478"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管控类型</w:t>
            </w:r>
          </w:p>
        </w:tc>
        <w:tc>
          <w:tcPr>
            <w:tcW w:w="4052"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eastAsia="zh-CN" w:bidi="ar"/>
              </w:rPr>
              <w:t>管控</w:t>
            </w:r>
            <w:r>
              <w:rPr>
                <w:rFonts w:hint="default" w:ascii="Times New Roman" w:hAnsi="Times New Roman" w:eastAsia="仿宋" w:cs="Times New Roman"/>
                <w:b w:val="0"/>
                <w:bCs w:val="0"/>
                <w:kern w:val="0"/>
                <w:szCs w:val="21"/>
                <w:lang w:bidi="ar"/>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5" w:hRule="atLeast"/>
        </w:trPr>
        <w:tc>
          <w:tcPr>
            <w:tcW w:w="469" w:type="pct"/>
            <w:vMerge w:val="restart"/>
            <w:tcBorders>
              <w:top w:val="single" w:color="auto" w:sz="4" w:space="0"/>
              <w:left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黔中</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经济区</w:t>
            </w:r>
          </w:p>
        </w:tc>
        <w:tc>
          <w:tcPr>
            <w:tcW w:w="478" w:type="pct"/>
            <w:vMerge w:val="restart"/>
            <w:tcBorders>
              <w:top w:val="single" w:color="auto" w:sz="4" w:space="0"/>
              <w:left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布局要求</w:t>
            </w:r>
          </w:p>
        </w:tc>
        <w:tc>
          <w:tcPr>
            <w:tcW w:w="4052" w:type="pct"/>
            <w:tcBorders>
              <w:top w:val="single" w:color="auto" w:sz="4" w:space="0"/>
              <w:left w:val="single" w:color="auto" w:sz="4" w:space="0"/>
              <w:right w:val="single" w:color="auto" w:sz="4" w:space="0"/>
            </w:tcBorders>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1.禁止在长江干支流岸线一公里范围内新建、扩建化工园区和化工项目。</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禁止在长江干流岸线三公里范围内和重要支流岸线一公里范围内新建、改建、扩建尾矿库；但是以提升安全、生态环境保护水平为目的的改建除外。</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2.在集中供热管网覆盖地区，禁止新建、扩建分散燃煤供热锅炉。</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防范工矿企业新增土壤污染。严格落实建设项目土壤环境影响评价制度。对涉及有毒有害物质可能造成土壤污染的新（改、扩）建项目，依法进行环境影响评价，提出并落实防腐蚀、防渗漏、防遗撒等土壤污染防治具体措施。</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w:t>
            </w:r>
            <w:bookmarkStart w:id="30" w:name="OLE_LINK8"/>
            <w:r>
              <w:rPr>
                <w:rFonts w:hint="default" w:ascii="Times New Roman" w:hAnsi="Times New Roman" w:eastAsia="仿宋" w:cs="Times New Roman"/>
                <w:b w:val="0"/>
                <w:bCs w:val="0"/>
                <w:kern w:val="0"/>
                <w:szCs w:val="21"/>
                <w:lang w:bidi="ar"/>
              </w:rPr>
              <w:t>在国家规定的期限内</w:t>
            </w:r>
            <w:bookmarkEnd w:id="30"/>
            <w:r>
              <w:rPr>
                <w:rFonts w:hint="default" w:ascii="Times New Roman" w:hAnsi="Times New Roman" w:eastAsia="仿宋" w:cs="Times New Roman"/>
                <w:b w:val="0"/>
                <w:bCs w:val="0"/>
                <w:kern w:val="0"/>
                <w:szCs w:val="21"/>
                <w:lang w:bidi="ar"/>
              </w:rPr>
              <w:t>，禁止在乌江重点水域进行天然渔业资源的生产性捕捞，禁止收购、销售和加工乌江流域非法捕捞渔获物。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5.乌江流域产业结构和布局应当与乌江流域生态系统和资源环境承载能力相适应。禁止在乌江流域重点生态功能区布局对生态系统有严重影响的产业。</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6.乌江流域县级以上人民政府依法划定禁止采砂区和禁止采砂期，严格控制采砂区域、采砂总量和采砂区域内的采砂船舶数量。禁止在乌江流域禁止采砂区和禁止采砂期从事采砂活动。</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7.禁止在乌江流域内发展下列产业：</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（1）不符合国家产业政策的；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（2）</w:t>
            </w:r>
            <w:r>
              <w:rPr>
                <w:rFonts w:hint="default" w:ascii="Times New Roman" w:hAnsi="Times New Roman" w:eastAsia="仿宋" w:cs="Times New Roman"/>
                <w:b w:val="0"/>
                <w:bCs w:val="0"/>
                <w:kern w:val="0"/>
                <w:szCs w:val="21"/>
                <w:lang w:bidi="ar"/>
              </w:rPr>
              <w:t>不符合生态环境保护要求的；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（3）</w:t>
            </w:r>
            <w:r>
              <w:rPr>
                <w:rFonts w:hint="default" w:ascii="Times New Roman" w:hAnsi="Times New Roman" w:eastAsia="仿宋" w:cs="Times New Roman"/>
                <w:b w:val="0"/>
                <w:bCs w:val="0"/>
                <w:kern w:val="0"/>
                <w:szCs w:val="21"/>
                <w:lang w:bidi="ar"/>
              </w:rPr>
              <w:t>不符合乌江流域综合保护规划的。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8.禁止在乌江流域实施下列行为：</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（1）向水体排放、倾倒油类、酸液、碱液或者有毒废液；</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（2）</w:t>
            </w:r>
            <w:r>
              <w:rPr>
                <w:rFonts w:hint="default" w:ascii="Times New Roman" w:hAnsi="Times New Roman" w:eastAsia="仿宋" w:cs="Times New Roman"/>
                <w:b w:val="0"/>
                <w:bCs w:val="0"/>
                <w:kern w:val="0"/>
                <w:szCs w:val="21"/>
                <w:lang w:bidi="ar"/>
              </w:rPr>
              <w:t>在水体清洗装贮过油类或者有毒污染物的车辆、容器、包装物；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（3）</w:t>
            </w:r>
            <w:r>
              <w:rPr>
                <w:rFonts w:hint="default" w:ascii="Times New Roman" w:hAnsi="Times New Roman" w:eastAsia="仿宋" w:cs="Times New Roman"/>
                <w:b w:val="0"/>
                <w:bCs w:val="0"/>
                <w:kern w:val="0"/>
                <w:szCs w:val="21"/>
                <w:lang w:bidi="ar"/>
              </w:rPr>
              <w:t>向水体直接或者利用渗井、渗坑、溶洞、裂隙等间接排放、倾倒磷、锰、锑、汞等工业废渣或者其他废弃物；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（4）</w:t>
            </w:r>
            <w:r>
              <w:rPr>
                <w:rFonts w:hint="default" w:ascii="Times New Roman" w:hAnsi="Times New Roman" w:eastAsia="仿宋" w:cs="Times New Roman"/>
                <w:b w:val="0"/>
                <w:bCs w:val="0"/>
                <w:kern w:val="0"/>
                <w:szCs w:val="21"/>
                <w:lang w:bidi="ar"/>
              </w:rPr>
              <w:t>在流域河道管理范围内堆放、倾倒、存贮、掩埋固体废物或者其他污染物；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（5）</w:t>
            </w:r>
            <w:r>
              <w:rPr>
                <w:rFonts w:hint="default" w:ascii="Times New Roman" w:hAnsi="Times New Roman" w:eastAsia="仿宋" w:cs="Times New Roman"/>
                <w:b w:val="0"/>
                <w:bCs w:val="0"/>
                <w:kern w:val="0"/>
                <w:szCs w:val="21"/>
                <w:lang w:bidi="ar"/>
              </w:rPr>
              <w:t>使用国家明令禁止的农药，丢弃农药包装物、废物；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（6）</w:t>
            </w:r>
            <w:r>
              <w:rPr>
                <w:rFonts w:hint="default" w:ascii="Times New Roman" w:hAnsi="Times New Roman" w:eastAsia="仿宋" w:cs="Times New Roman"/>
                <w:b w:val="0"/>
                <w:bCs w:val="0"/>
                <w:kern w:val="0"/>
                <w:szCs w:val="21"/>
                <w:lang w:bidi="ar"/>
              </w:rPr>
              <w:t>生产、销售、使用含磷洗涤剂；</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（7）</w:t>
            </w:r>
            <w:r>
              <w:rPr>
                <w:rFonts w:hint="default" w:ascii="Times New Roman" w:hAnsi="Times New Roman" w:eastAsia="仿宋" w:cs="Times New Roman"/>
                <w:b w:val="0"/>
                <w:bCs w:val="0"/>
                <w:kern w:val="0"/>
                <w:szCs w:val="21"/>
                <w:lang w:bidi="ar"/>
              </w:rPr>
              <w:t>在河湖管理范围内建设妨碍行洪的建筑物、构筑物；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w:t>
            </w:r>
            <w:r>
              <w:rPr>
                <w:rFonts w:hint="eastAsia" w:ascii="Times New Roman" w:hAnsi="Times New Roman" w:eastAsia="仿宋" w:cs="Times New Roman"/>
                <w:b w:val="0"/>
                <w:bCs w:val="0"/>
                <w:kern w:val="0"/>
                <w:szCs w:val="21"/>
                <w:lang w:val="en-US" w:eastAsia="zh-CN" w:bidi="ar"/>
              </w:rPr>
              <w:t>8</w:t>
            </w:r>
            <w:r>
              <w:rPr>
                <w:rFonts w:hint="default" w:ascii="Times New Roman" w:hAnsi="Times New Roman" w:eastAsia="仿宋" w:cs="Times New Roman"/>
                <w:b w:val="0"/>
                <w:bCs w:val="0"/>
                <w:kern w:val="0"/>
                <w:szCs w:val="21"/>
                <w:lang w:bidi="ar"/>
              </w:rPr>
              <w:t>）擅自在河道中筑坝、擅自改变河道走向；</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w:t>
            </w:r>
            <w:r>
              <w:rPr>
                <w:rFonts w:hint="eastAsia" w:ascii="Times New Roman" w:hAnsi="Times New Roman" w:eastAsia="仿宋" w:cs="Times New Roman"/>
                <w:b w:val="0"/>
                <w:bCs w:val="0"/>
                <w:kern w:val="0"/>
                <w:szCs w:val="21"/>
                <w:lang w:val="en-US" w:eastAsia="zh-CN" w:bidi="ar"/>
              </w:rPr>
              <w:t>9</w:t>
            </w:r>
            <w:r>
              <w:rPr>
                <w:rFonts w:hint="default" w:ascii="Times New Roman" w:hAnsi="Times New Roman" w:eastAsia="仿宋" w:cs="Times New Roman"/>
                <w:b w:val="0"/>
                <w:bCs w:val="0"/>
                <w:kern w:val="0"/>
                <w:szCs w:val="21"/>
                <w:lang w:bidi="ar"/>
              </w:rPr>
              <w:t>）向水体排放、倾倒船舶垃圾、残油、废油；</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w:t>
            </w:r>
            <w:r>
              <w:rPr>
                <w:rFonts w:hint="eastAsia" w:ascii="Times New Roman" w:hAnsi="Times New Roman" w:eastAsia="仿宋" w:cs="Times New Roman"/>
                <w:b w:val="0"/>
                <w:bCs w:val="0"/>
                <w:kern w:val="0"/>
                <w:szCs w:val="21"/>
                <w:lang w:val="en-US" w:eastAsia="zh-CN" w:bidi="ar"/>
              </w:rPr>
              <w:t>10</w:t>
            </w:r>
            <w:r>
              <w:rPr>
                <w:rFonts w:hint="default" w:ascii="Times New Roman" w:hAnsi="Times New Roman" w:eastAsia="仿宋" w:cs="Times New Roman"/>
                <w:b w:val="0"/>
                <w:bCs w:val="0"/>
                <w:kern w:val="0"/>
                <w:szCs w:val="21"/>
                <w:lang w:bidi="ar"/>
              </w:rPr>
              <w:t>）法律、法规禁止的其他行为。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0" w:hRule="atLeast"/>
        </w:trPr>
        <w:tc>
          <w:tcPr>
            <w:tcW w:w="469" w:type="pct"/>
            <w:vMerge w:val="continue"/>
            <w:tcBorders>
              <w:left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478"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污染物排放管控</w:t>
            </w:r>
          </w:p>
        </w:tc>
        <w:tc>
          <w:tcPr>
            <w:tcW w:w="4052" w:type="pct"/>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1.坚决遏制高耗能高排放项目盲目发展。严把高耗能高排放项目准入关口，严格落实污染物排放区域削减要求，对不符合规定的项目坚决停批停建。依法依规淘汰落后产能和化解过剩产能。</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统筹好上下游、左右岸、干支流、城市和乡村，系统推进城市黑臭水体治理。加强农业农村和工业企业污染防治，有效控制入河污染物排放。强化溯源整治，杜绝污水直接排入雨水管网。推进城镇污水管网全覆盖，对进水情况出现明显异常的污水处理厂，开展片区管网系统化整治。因地制宜开展水体内源污染治理和生态修复，增强河湖自净功能。充分发挥河长制、湖长制作用，巩固城市黑臭水体治理成效，建立防止返黑返臭的长效机制。</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szCs w:val="21"/>
              </w:rPr>
              <w:t>3.严格总磷排放控制，规范区域削减替代要求。地方生态环境部门应以环境质量改善为核心，严格总磷等主要污染物区域削减要求。建设项目所在水环境控制单元或断面总磷超标的，实施总磷排放量2倍或以上削减替代。所在水环境控制单元或断面总磷达标的，实施总磷排放量等量或以上削减替代。替代量应来源于项目同一水环境控制单元或断面上游拟实施关停、升级改造的工业企业，不得来源于农业源、城镇污水处理厂或已列入流域环境质量改善计划的工业企业，相应的减排措施应确保在项目投产前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0" w:hRule="atLeast"/>
        </w:trPr>
        <w:tc>
          <w:tcPr>
            <w:tcW w:w="469" w:type="pct"/>
            <w:vMerge w:val="continue"/>
            <w:tcBorders>
              <w:left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478"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环境风险防控</w:t>
            </w:r>
          </w:p>
        </w:tc>
        <w:tc>
          <w:tcPr>
            <w:tcW w:w="4052" w:type="pct"/>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1.长江流域县级以上地方人民政府及其有关部门应当定期调查评估地下水资源状况，监测地下水水量、水位、水环境质量，并采取相应风险防范措施，保障地下水资源安全。</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2. 乌江流域县级以上人民政府应当组织对沿河湖垃圾填埋场、加油站、矿山、尾矿库、危险废物处置场、化工园区和化工项目等地下水重点污染源及周边地下水环境风险隐患开展调查评估，并采取相应风险防范和整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5" w:hRule="atLeast"/>
        </w:trPr>
        <w:tc>
          <w:tcPr>
            <w:tcW w:w="469" w:type="pct"/>
            <w:vMerge w:val="continue"/>
            <w:tcBorders>
              <w:left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478" w:type="pct"/>
            <w:vAlign w:val="center"/>
          </w:tcPr>
          <w:p>
            <w:pPr>
              <w:widowControl/>
              <w:adjustRightInd w:val="0"/>
              <w:snapToGrid w:val="0"/>
              <w:jc w:val="center"/>
              <w:textAlignment w:val="center"/>
              <w:rPr>
                <w:rFonts w:hint="eastAsia" w:ascii="Times New Roman" w:hAnsi="Times New Roman" w:eastAsia="仿宋" w:cs="Times New Roman"/>
                <w:b w:val="0"/>
                <w:bCs w:val="0"/>
                <w:kern w:val="0"/>
                <w:szCs w:val="21"/>
                <w:lang w:val="en-US" w:eastAsia="zh-CN" w:bidi="ar"/>
              </w:rPr>
            </w:pPr>
            <w:r>
              <w:rPr>
                <w:rFonts w:hint="default" w:ascii="Times New Roman" w:hAnsi="Times New Roman" w:eastAsia="仿宋" w:cs="Times New Roman"/>
                <w:b w:val="0"/>
                <w:bCs w:val="0"/>
                <w:kern w:val="0"/>
                <w:szCs w:val="21"/>
                <w:lang w:bidi="ar"/>
              </w:rPr>
              <w:t>资源利用效率</w:t>
            </w:r>
            <w:r>
              <w:rPr>
                <w:rFonts w:hint="eastAsia" w:ascii="Times New Roman" w:hAnsi="Times New Roman" w:eastAsia="仿宋" w:cs="Times New Roman"/>
                <w:b w:val="0"/>
                <w:bCs w:val="0"/>
                <w:kern w:val="0"/>
                <w:szCs w:val="21"/>
                <w:lang w:val="en-US" w:eastAsia="zh-CN" w:bidi="ar"/>
              </w:rPr>
              <w:t>要求</w:t>
            </w:r>
          </w:p>
        </w:tc>
        <w:tc>
          <w:tcPr>
            <w:tcW w:w="4052" w:type="pct"/>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1.县级以上人民政府水行政主管部门应当依据本行政区域年度用水总量和强度控制指标，制定年度用水计划并组织实施。</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2.鼓励使用先进的节水技术、工艺、设备和产品,禁止生产、进口、销售、使用国家列入淘汰名录的节水技术、工艺、设备和产品。</w:t>
            </w:r>
          </w:p>
        </w:tc>
      </w:tr>
    </w:tbl>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wordWrap w:val="0"/>
        <w:spacing w:line="500" w:lineRule="exact"/>
        <w:outlineLvl w:val="1"/>
        <w:rPr>
          <w:rFonts w:hint="default" w:ascii="Times New Roman" w:hAnsi="Times New Roman" w:eastAsia="仿宋_GB2312" w:cs="Times New Roman"/>
          <w:b w:val="0"/>
          <w:bCs w:val="0"/>
          <w:sz w:val="30"/>
          <w:szCs w:val="30"/>
        </w:rPr>
        <w:sectPr>
          <w:pgSz w:w="11906" w:h="16838"/>
          <w:pgMar w:top="1440" w:right="1800" w:bottom="1440" w:left="1800" w:header="851" w:footer="992" w:gutter="0"/>
          <w:pgNumType w:fmt="decimal"/>
          <w:cols w:space="720" w:num="1"/>
          <w:docGrid w:type="lines" w:linePitch="312" w:charSpace="0"/>
        </w:sectPr>
      </w:pPr>
    </w:p>
    <w:p>
      <w:pPr>
        <w:wordWrap w:val="0"/>
        <w:spacing w:line="500" w:lineRule="exact"/>
        <w:outlineLvl w:val="1"/>
        <w:rPr>
          <w:rFonts w:hint="default" w:ascii="Times New Roman" w:hAnsi="Times New Roman" w:cs="Times New Roman"/>
          <w:b w:val="0"/>
          <w:bCs w:val="0"/>
          <w:sz w:val="30"/>
          <w:szCs w:val="30"/>
        </w:rPr>
      </w:pPr>
      <w:r>
        <w:rPr>
          <w:rFonts w:hint="default" w:ascii="Times New Roman" w:hAnsi="Times New Roman" w:eastAsia="仿宋_GB2312" w:cs="Times New Roman"/>
          <w:b w:val="0"/>
          <w:bCs w:val="0"/>
          <w:sz w:val="30"/>
          <w:szCs w:val="30"/>
        </w:rPr>
        <w:t>2.5 赤水河生物多样性水源涵养区管控要求</w:t>
      </w:r>
      <w:bookmarkEnd w:id="25"/>
      <w:bookmarkEnd w:id="26"/>
      <w:bookmarkEnd w:id="27"/>
      <w:bookmarkEnd w:id="28"/>
    </w:p>
    <w:p>
      <w:pPr>
        <w:wordWrap w:val="0"/>
        <w:spacing w:line="500" w:lineRule="exact"/>
        <w:ind w:firstLine="482"/>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表2.5  赤水河生物多样性水源涵养区管控要求</w:t>
      </w:r>
    </w:p>
    <w:tbl>
      <w:tblPr>
        <w:tblStyle w:val="1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4"/>
        <w:gridCol w:w="864"/>
        <w:gridCol w:w="68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95"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bookmarkStart w:id="31" w:name="_Toc6742"/>
            <w:bookmarkStart w:id="32" w:name="_Toc25465_WPSOffice_Level2"/>
            <w:bookmarkStart w:id="33" w:name="_Toc6549"/>
            <w:bookmarkStart w:id="34" w:name="_Toc17071_WPSOffice_Level2"/>
            <w:bookmarkStart w:id="35" w:name="_Toc1772_WPSOffice_Level2"/>
            <w:bookmarkStart w:id="36" w:name="_Toc353_WPSOffice_Level2"/>
            <w:bookmarkStart w:id="37" w:name="_Toc3831"/>
            <w:r>
              <w:rPr>
                <w:rFonts w:hint="default" w:ascii="Times New Roman" w:hAnsi="Times New Roman" w:eastAsia="仿宋" w:cs="Times New Roman"/>
                <w:b w:val="0"/>
                <w:bCs w:val="0"/>
                <w:kern w:val="0"/>
                <w:szCs w:val="21"/>
                <w:lang w:bidi="ar"/>
              </w:rPr>
              <w:t>适用范围</w:t>
            </w:r>
          </w:p>
        </w:tc>
        <w:tc>
          <w:tcPr>
            <w:tcW w:w="507"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管控类型</w:t>
            </w:r>
          </w:p>
        </w:tc>
        <w:tc>
          <w:tcPr>
            <w:tcW w:w="3996"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eastAsia="zh-CN" w:bidi="ar"/>
              </w:rPr>
              <w:t>管控</w:t>
            </w:r>
            <w:r>
              <w:rPr>
                <w:rFonts w:hint="default" w:ascii="Times New Roman" w:hAnsi="Times New Roman" w:eastAsia="仿宋" w:cs="Times New Roman"/>
                <w:b w:val="0"/>
                <w:bCs w:val="0"/>
                <w:kern w:val="0"/>
                <w:szCs w:val="21"/>
                <w:lang w:bidi="ar"/>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5" w:hRule="atLeast"/>
          <w:jc w:val="center"/>
        </w:trPr>
        <w:tc>
          <w:tcPr>
            <w:tcW w:w="495" w:type="pct"/>
            <w:vMerge w:val="restar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赤水河生物多样性水源涵养区</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507"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布局</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要求</w:t>
            </w:r>
          </w:p>
        </w:tc>
        <w:tc>
          <w:tcPr>
            <w:tcW w:w="3996" w:type="pct"/>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1.赤水河流域县级以上人民政府在进行赤水河流域产业布局和产业结构调整时，应当严格落实国家产业结构调整指导目录，优先考虑自然资源条件、环境资源承载能力以及保护流域生态环境的需要。</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2.禁止在赤水河流域内发展下列产业：</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（1）不符合国家产业政策的；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（2）不符合环境保护要求的；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（3）不符合赤水河流域保护规划、产业发展规划的。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禁止在赤水河干流岸线一公里范围内新建、扩建煤矿、砂石厂（场）、取土场、化工园区和化工项目。</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禁止在赤水河干流岸线一公里范围内新建、改建、扩建尾矿库。但是以提升安全、生态环境保护水平为目的的除外。</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在赤水河流域沿岸铺设石油天然气、化工液体管道应当符合河湖岸线保护规划和生态环境保护要求。</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禁止新建、扩建、改建生活垃圾填埋场。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jc w:val="center"/>
        </w:trPr>
        <w:tc>
          <w:tcPr>
            <w:tcW w:w="495" w:type="pct"/>
            <w:vMerge w:val="continue"/>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507"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污染物排放管控</w:t>
            </w:r>
          </w:p>
        </w:tc>
        <w:tc>
          <w:tcPr>
            <w:tcW w:w="3996" w:type="pct"/>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赤水河流域县级以上人民政府应当加强污水、垃圾的无害化、资源化处理等生态环境保护基础设施建设，制定工作计划并纳入流域保护目标责任制。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3" w:hRule="atLeast"/>
          <w:jc w:val="center"/>
        </w:trPr>
        <w:tc>
          <w:tcPr>
            <w:tcW w:w="495" w:type="pct"/>
            <w:vMerge w:val="continue"/>
            <w:vAlign w:val="center"/>
          </w:tcPr>
          <w:p>
            <w:pPr>
              <w:wordWrap w:val="0"/>
              <w:jc w:val="center"/>
              <w:rPr>
                <w:rFonts w:hint="default" w:ascii="Times New Roman" w:hAnsi="Times New Roman" w:eastAsia="仿宋" w:cs="Times New Roman"/>
                <w:b w:val="0"/>
                <w:bCs w:val="0"/>
                <w:kern w:val="0"/>
                <w:szCs w:val="21"/>
                <w:lang w:bidi="ar"/>
              </w:rPr>
            </w:pPr>
          </w:p>
        </w:tc>
        <w:tc>
          <w:tcPr>
            <w:tcW w:w="507"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环境风险防控</w:t>
            </w:r>
          </w:p>
        </w:tc>
        <w:tc>
          <w:tcPr>
            <w:tcW w:w="3996" w:type="pct"/>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赤水河流域各级人民政府及其有关部门、可能发生水污染事故的企业事业单位，应当制定有关水污染事故应急预案，定期组织演练，做好突发水污染事故的应急准备、应急处置和事后恢复等工作。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7" w:hRule="atLeast"/>
          <w:jc w:val="center"/>
        </w:trPr>
        <w:tc>
          <w:tcPr>
            <w:tcW w:w="495" w:type="pct"/>
            <w:vMerge w:val="continue"/>
            <w:vAlign w:val="center"/>
          </w:tcPr>
          <w:p>
            <w:pPr>
              <w:wordWrap w:val="0"/>
              <w:jc w:val="center"/>
              <w:rPr>
                <w:rFonts w:hint="default" w:ascii="Times New Roman" w:hAnsi="Times New Roman" w:eastAsia="仿宋" w:cs="Times New Roman"/>
                <w:b w:val="0"/>
                <w:bCs w:val="0"/>
                <w:kern w:val="0"/>
                <w:szCs w:val="21"/>
                <w:lang w:bidi="ar"/>
              </w:rPr>
            </w:pPr>
          </w:p>
        </w:tc>
        <w:tc>
          <w:tcPr>
            <w:tcW w:w="507" w:type="pct"/>
            <w:vAlign w:val="center"/>
          </w:tcPr>
          <w:p>
            <w:pPr>
              <w:widowControl/>
              <w:adjustRightInd w:val="0"/>
              <w:snapToGrid w:val="0"/>
              <w:jc w:val="center"/>
              <w:textAlignment w:val="center"/>
              <w:rPr>
                <w:rFonts w:hint="eastAsia" w:ascii="Times New Roman" w:hAnsi="Times New Roman" w:eastAsia="仿宋" w:cs="Times New Roman"/>
                <w:b w:val="0"/>
                <w:bCs w:val="0"/>
                <w:kern w:val="0"/>
                <w:szCs w:val="21"/>
                <w:lang w:val="en-US" w:eastAsia="zh-CN" w:bidi="ar"/>
              </w:rPr>
            </w:pPr>
            <w:r>
              <w:rPr>
                <w:rFonts w:hint="default" w:ascii="Times New Roman" w:hAnsi="Times New Roman" w:eastAsia="仿宋" w:cs="Times New Roman"/>
                <w:b w:val="0"/>
                <w:bCs w:val="0"/>
                <w:kern w:val="0"/>
                <w:szCs w:val="21"/>
                <w:lang w:bidi="ar"/>
              </w:rPr>
              <w:t>资源利用效率</w:t>
            </w:r>
            <w:r>
              <w:rPr>
                <w:rFonts w:hint="eastAsia" w:ascii="Times New Roman" w:hAnsi="Times New Roman" w:eastAsia="仿宋" w:cs="Times New Roman"/>
                <w:b w:val="0"/>
                <w:bCs w:val="0"/>
                <w:kern w:val="0"/>
                <w:szCs w:val="21"/>
                <w:lang w:val="en-US" w:eastAsia="zh-CN" w:bidi="ar"/>
              </w:rPr>
              <w:t>要求</w:t>
            </w:r>
          </w:p>
        </w:tc>
        <w:tc>
          <w:tcPr>
            <w:tcW w:w="3996" w:type="pct"/>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1.赤水河流域水资源开发实行最严格的水资源管理制度，遵循节水优先、以水定需、量水而行的原则，生产经营活动依法实行取水许可制度和有偿使用制度，全面实施水资源消耗总量和强度控制。</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2.赤水河流域水资源的开发利用应当符合水功能区划、生态流量管控目标的要求，优先满足城乡居民生活用水，保障基本生态用水，并统筹农业、工业以及航运等需要。</w:t>
            </w:r>
          </w:p>
        </w:tc>
      </w:tr>
    </w:tbl>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wordWrap w:val="0"/>
        <w:spacing w:line="500" w:lineRule="exact"/>
        <w:outlineLvl w:val="1"/>
        <w:rPr>
          <w:rFonts w:hint="default" w:ascii="Times New Roman" w:hAnsi="Times New Roman" w:eastAsia="仿宋" w:cs="Times New Roman"/>
          <w:b w:val="0"/>
          <w:bCs w:val="0"/>
          <w:sz w:val="30"/>
          <w:szCs w:val="30"/>
        </w:rPr>
        <w:sectPr>
          <w:pgSz w:w="11906" w:h="16838"/>
          <w:pgMar w:top="1440" w:right="1800" w:bottom="1440" w:left="1800" w:header="851" w:footer="992" w:gutter="0"/>
          <w:pgNumType w:fmt="decimal"/>
          <w:cols w:space="720" w:num="1"/>
          <w:docGrid w:type="lines" w:linePitch="312" w:charSpace="0"/>
        </w:sectPr>
      </w:pPr>
    </w:p>
    <w:p>
      <w:pPr>
        <w:wordWrap w:val="0"/>
        <w:spacing w:line="500" w:lineRule="exact"/>
        <w:outlineLvl w:val="1"/>
        <w:rPr>
          <w:rFonts w:hint="default" w:ascii="Times New Roman" w:hAnsi="Times New Roman" w:eastAsia="仿宋" w:cs="Times New Roman"/>
          <w:b w:val="0"/>
          <w:bCs w:val="0"/>
          <w:sz w:val="32"/>
          <w:szCs w:val="32"/>
        </w:rPr>
      </w:pPr>
      <w:r>
        <w:rPr>
          <w:rFonts w:hint="default" w:ascii="Times New Roman" w:hAnsi="Times New Roman" w:eastAsia="仿宋" w:cs="Times New Roman"/>
          <w:b w:val="0"/>
          <w:bCs w:val="0"/>
          <w:sz w:val="30"/>
          <w:szCs w:val="30"/>
        </w:rPr>
        <w:t>2.6</w:t>
      </w:r>
      <w:r>
        <w:rPr>
          <w:rFonts w:hint="default" w:ascii="Times New Roman" w:hAnsi="Times New Roman" w:eastAsia="仿宋" w:cs="Times New Roman"/>
          <w:b w:val="0"/>
          <w:bCs w:val="0"/>
          <w:sz w:val="32"/>
          <w:szCs w:val="32"/>
        </w:rPr>
        <w:t xml:space="preserve"> 黔东生物多样性区管控要求</w:t>
      </w:r>
    </w:p>
    <w:p>
      <w:pPr>
        <w:wordWrap w:val="0"/>
        <w:spacing w:line="500" w:lineRule="exact"/>
        <w:ind w:firstLine="482"/>
        <w:jc w:val="center"/>
        <w:rPr>
          <w:rFonts w:hint="default" w:ascii="Times New Roman" w:hAnsi="Times New Roman" w:eastAsia="仿宋" w:cs="Times New Roman"/>
          <w:b w:val="0"/>
          <w:bCs w:val="0"/>
          <w:sz w:val="28"/>
          <w:szCs w:val="28"/>
        </w:rPr>
      </w:pPr>
      <w:r>
        <w:rPr>
          <w:rFonts w:hint="default" w:ascii="Times New Roman" w:hAnsi="Times New Roman" w:eastAsia="仿宋" w:cs="Times New Roman"/>
          <w:b w:val="0"/>
          <w:bCs w:val="0"/>
          <w:sz w:val="28"/>
          <w:szCs w:val="28"/>
        </w:rPr>
        <w:t>表2.6  黔东生物多样性区管控要求</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9"/>
        <w:gridCol w:w="1053"/>
        <w:gridCol w:w="6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475"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bookmarkStart w:id="38" w:name="_Toc22833_WPSOffice_Level2"/>
            <w:bookmarkStart w:id="39" w:name="_Toc18716"/>
            <w:bookmarkStart w:id="40" w:name="_Toc7747_WPSOffice_Level2"/>
            <w:bookmarkStart w:id="41" w:name="_Toc7713_WPSOffice_Level2"/>
            <w:bookmarkStart w:id="42" w:name="_Toc26454"/>
            <w:bookmarkStart w:id="43" w:name="_Toc31627_WPSOffice_Level2"/>
            <w:bookmarkStart w:id="44" w:name="_Toc4837"/>
            <w:r>
              <w:rPr>
                <w:rFonts w:hint="default" w:ascii="Times New Roman" w:hAnsi="Times New Roman" w:eastAsia="仿宋" w:cs="Times New Roman"/>
                <w:b w:val="0"/>
                <w:bCs w:val="0"/>
                <w:kern w:val="0"/>
                <w:szCs w:val="21"/>
                <w:lang w:bidi="ar"/>
              </w:rPr>
              <w:t>适用范围</w:t>
            </w:r>
          </w:p>
        </w:tc>
        <w:tc>
          <w:tcPr>
            <w:tcW w:w="618"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管控</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类型</w:t>
            </w:r>
          </w:p>
        </w:tc>
        <w:tc>
          <w:tcPr>
            <w:tcW w:w="3906"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eastAsia="zh-CN" w:bidi="ar"/>
              </w:rPr>
              <w:t>管控</w:t>
            </w:r>
            <w:r>
              <w:rPr>
                <w:rFonts w:hint="default" w:ascii="Times New Roman" w:hAnsi="Times New Roman" w:eastAsia="仿宋" w:cs="Times New Roman"/>
                <w:b w:val="0"/>
                <w:bCs w:val="0"/>
                <w:kern w:val="0"/>
                <w:szCs w:val="21"/>
                <w:lang w:bidi="ar"/>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0" w:hRule="atLeast"/>
          <w:tblHeader/>
        </w:trPr>
        <w:tc>
          <w:tcPr>
            <w:tcW w:w="475" w:type="pct"/>
            <w:vMerge w:val="restar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黔东生物多样性区</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618"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布局</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要求</w:t>
            </w:r>
          </w:p>
        </w:tc>
        <w:tc>
          <w:tcPr>
            <w:tcW w:w="3906" w:type="pct"/>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落实就地保护体系。在国土空间规划中统筹划定生态保护红线，优化调整自然保护地，加强对生物多样性保护优先区域的保护监管，明确重点生态功能区生物多样性保护和管控政策。因地制宜科学构建促进物种迁徙和基因交流的生态廊道，着力解决自然景观破碎化、保护区域孤岛化、生态连通性降低等突出问题。合理布局建设物种保护空间体系，重点加强珍稀濒危动植物、旗舰物种和指示物种保护管理，明确重点保护对象及其受威胁程度，对其栖息生境实施不同保护措施。选择重要珍稀濒危物种、极小种群和遗传资源破碎分布点建设保护点。</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保持高压严管态势。有关地方要聚焦重点时段，紧盯重点区域、重点场所、重点对象、重要物种，持续组织开展水上巡航、陆上检查、线上排查，依法严厉查处“电毒炸”、“绝户网”等非法捕捞以及市场销售非法渔获物等违法犯罪行为。建立合法捕捞水产品信息管理制度，落实水产品加工、经营环节进货查验要求，禁止以“长江野生鱼”等为噱头进行虚假宣传，禁止非法渔获物上市交易。依法查处收购、加工、销售非法渔获物以及非法制造、销售禁用渔具和发布相关非法信息等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8" w:hRule="atLeast"/>
          <w:tblHeader/>
        </w:trPr>
        <w:tc>
          <w:tcPr>
            <w:tcW w:w="475" w:type="pct"/>
            <w:vMerge w:val="continue"/>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618"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污染物排放管控</w:t>
            </w:r>
          </w:p>
        </w:tc>
        <w:tc>
          <w:tcPr>
            <w:tcW w:w="3906" w:type="pct"/>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严格落实长江流域水环境质量和污染物排放、生态环境修复、水资源节约集约利用、生态流量、生物多样性保护、水产养殖、防灾减灾等标准体系的相关规定。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tblHeader/>
        </w:trPr>
        <w:tc>
          <w:tcPr>
            <w:tcW w:w="475" w:type="pct"/>
            <w:vMerge w:val="continue"/>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618"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环境风险防控</w:t>
            </w:r>
          </w:p>
        </w:tc>
        <w:tc>
          <w:tcPr>
            <w:tcW w:w="3906" w:type="pct"/>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根据《长江保护法》关于建立健全长江流域突发生态环境事件应急联动工作机制的规定，与国家突发事件应急体系相衔接，加强对长江流域船舶、港口、矿山、化工厂、尾矿库等发生的突发生态环境事件的应急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tblHeader/>
        </w:trPr>
        <w:tc>
          <w:tcPr>
            <w:tcW w:w="475" w:type="pct"/>
            <w:vMerge w:val="continue"/>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618" w:type="pct"/>
            <w:vAlign w:val="center"/>
          </w:tcPr>
          <w:p>
            <w:pPr>
              <w:widowControl/>
              <w:adjustRightInd w:val="0"/>
              <w:snapToGrid w:val="0"/>
              <w:jc w:val="center"/>
              <w:textAlignment w:val="center"/>
              <w:rPr>
                <w:rFonts w:hint="eastAsia" w:ascii="Times New Roman" w:hAnsi="Times New Roman" w:eastAsia="仿宋" w:cs="Times New Roman"/>
                <w:b w:val="0"/>
                <w:bCs w:val="0"/>
                <w:kern w:val="0"/>
                <w:szCs w:val="21"/>
                <w:lang w:val="en-US" w:eastAsia="zh-CN" w:bidi="ar"/>
              </w:rPr>
            </w:pPr>
            <w:r>
              <w:rPr>
                <w:rFonts w:hint="default" w:ascii="Times New Roman" w:hAnsi="Times New Roman" w:eastAsia="仿宋" w:cs="Times New Roman"/>
                <w:b w:val="0"/>
                <w:bCs w:val="0"/>
                <w:kern w:val="0"/>
                <w:szCs w:val="21"/>
                <w:lang w:bidi="ar"/>
              </w:rPr>
              <w:t>资源利用效率</w:t>
            </w:r>
            <w:r>
              <w:rPr>
                <w:rFonts w:hint="eastAsia" w:ascii="Times New Roman" w:hAnsi="Times New Roman" w:eastAsia="仿宋" w:cs="Times New Roman"/>
                <w:b w:val="0"/>
                <w:bCs w:val="0"/>
                <w:kern w:val="0"/>
                <w:szCs w:val="21"/>
                <w:lang w:val="en-US" w:eastAsia="zh-CN" w:bidi="ar"/>
              </w:rPr>
              <w:t>要求</w:t>
            </w:r>
          </w:p>
        </w:tc>
        <w:tc>
          <w:tcPr>
            <w:tcW w:w="3906" w:type="pct"/>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有下列情形之一的，禁止新建、扩建、改建地下水取水工程或者设施：</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（1）地表水能够满足用水需要的；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（2）公共供水管网覆盖范围内能够满足用水需要的；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（3）地下水开采达到或者超过年度取水计划可采总量控制的；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（4）因地下水开采引起地面沉降的；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（5）地下水水位低于规定控制水位的。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作为应急开采的地下水，只能作为应急时使用。</w:t>
            </w:r>
          </w:p>
        </w:tc>
      </w:tr>
    </w:tbl>
    <w:p>
      <w:pPr>
        <w:rPr>
          <w:rFonts w:hint="default" w:ascii="Times New Roman" w:hAnsi="Times New Roman" w:eastAsia="仿宋" w:cs="Times New Roman"/>
          <w:b w:val="0"/>
          <w:bCs w:val="0"/>
        </w:rPr>
      </w:pPr>
    </w:p>
    <w:p>
      <w:pPr>
        <w:wordWrap w:val="0"/>
        <w:spacing w:line="500" w:lineRule="exact"/>
        <w:outlineLvl w:val="1"/>
        <w:rPr>
          <w:rFonts w:hint="default" w:ascii="Times New Roman" w:hAnsi="Times New Roman" w:eastAsia="仿宋" w:cs="Times New Roman"/>
          <w:b w:val="0"/>
          <w:bCs w:val="0"/>
          <w:sz w:val="30"/>
          <w:szCs w:val="30"/>
        </w:rPr>
        <w:sectPr>
          <w:pgSz w:w="11906" w:h="16838"/>
          <w:pgMar w:top="1440" w:right="1800" w:bottom="1440" w:left="1800" w:header="851" w:footer="992" w:gutter="0"/>
          <w:pgNumType w:fmt="decimal"/>
          <w:cols w:space="720" w:num="1"/>
          <w:docGrid w:type="lines" w:linePitch="312" w:charSpace="0"/>
        </w:sectPr>
      </w:pPr>
    </w:p>
    <w:p>
      <w:pPr>
        <w:wordWrap w:val="0"/>
        <w:spacing w:line="500" w:lineRule="exact"/>
        <w:outlineLvl w:val="1"/>
        <w:rPr>
          <w:rFonts w:hint="default" w:ascii="Times New Roman" w:hAnsi="Times New Roman" w:eastAsia="仿宋" w:cs="Times New Roman"/>
          <w:b w:val="0"/>
          <w:bCs w:val="0"/>
        </w:rPr>
      </w:pPr>
      <w:r>
        <w:rPr>
          <w:rFonts w:hint="default" w:ascii="Times New Roman" w:hAnsi="Times New Roman" w:eastAsia="仿宋" w:cs="Times New Roman"/>
          <w:b w:val="0"/>
          <w:bCs w:val="0"/>
          <w:sz w:val="30"/>
          <w:szCs w:val="30"/>
        </w:rPr>
        <w:t>2.7</w:t>
      </w:r>
      <w:r>
        <w:rPr>
          <w:rFonts w:hint="default" w:ascii="Times New Roman" w:hAnsi="Times New Roman" w:eastAsia="仿宋" w:cs="Times New Roman"/>
          <w:b w:val="0"/>
          <w:bCs w:val="0"/>
          <w:sz w:val="32"/>
          <w:szCs w:val="32"/>
        </w:rPr>
        <w:t xml:space="preserve"> 黔东经济带管控要求</w:t>
      </w:r>
      <w:bookmarkEnd w:id="38"/>
      <w:bookmarkEnd w:id="39"/>
      <w:bookmarkEnd w:id="40"/>
      <w:bookmarkEnd w:id="41"/>
      <w:bookmarkEnd w:id="42"/>
      <w:bookmarkEnd w:id="43"/>
      <w:bookmarkEnd w:id="44"/>
    </w:p>
    <w:p>
      <w:pPr>
        <w:spacing w:line="500" w:lineRule="exact"/>
        <w:jc w:val="center"/>
        <w:rPr>
          <w:rFonts w:hint="default" w:ascii="Times New Roman" w:hAnsi="Times New Roman" w:eastAsia="仿宋" w:cs="Times New Roman"/>
          <w:b w:val="0"/>
          <w:bCs w:val="0"/>
          <w:sz w:val="28"/>
          <w:szCs w:val="28"/>
        </w:rPr>
      </w:pPr>
      <w:r>
        <w:rPr>
          <w:rFonts w:hint="default" w:ascii="Times New Roman" w:hAnsi="Times New Roman" w:eastAsia="仿宋" w:cs="Times New Roman"/>
          <w:b w:val="0"/>
          <w:bCs w:val="0"/>
          <w:sz w:val="28"/>
          <w:szCs w:val="28"/>
        </w:rPr>
        <w:t>表2.7  黔东经济带管控要求</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922"/>
        <w:gridCol w:w="6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blHeader/>
        </w:trPr>
        <w:tc>
          <w:tcPr>
            <w:tcW w:w="484"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bookmarkStart w:id="45" w:name="_Toc11688"/>
            <w:bookmarkStart w:id="46" w:name="_Toc19476"/>
            <w:r>
              <w:rPr>
                <w:rFonts w:hint="default" w:ascii="Times New Roman" w:hAnsi="Times New Roman" w:eastAsia="仿宋" w:cs="Times New Roman"/>
                <w:b w:val="0"/>
                <w:bCs w:val="0"/>
                <w:kern w:val="0"/>
                <w:szCs w:val="21"/>
                <w:lang w:bidi="ar"/>
              </w:rPr>
              <w:t>适用范围</w:t>
            </w:r>
          </w:p>
        </w:tc>
        <w:tc>
          <w:tcPr>
            <w:tcW w:w="541"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管控</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类型</w:t>
            </w:r>
          </w:p>
        </w:tc>
        <w:tc>
          <w:tcPr>
            <w:tcW w:w="3974"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eastAsia="zh-CN" w:bidi="ar"/>
              </w:rPr>
              <w:t>管控</w:t>
            </w:r>
            <w:r>
              <w:rPr>
                <w:rFonts w:hint="default" w:ascii="Times New Roman" w:hAnsi="Times New Roman" w:eastAsia="仿宋" w:cs="Times New Roman"/>
                <w:b w:val="0"/>
                <w:bCs w:val="0"/>
                <w:kern w:val="0"/>
                <w:szCs w:val="21"/>
                <w:lang w:bidi="ar"/>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3" w:hRule="atLeast"/>
        </w:trPr>
        <w:tc>
          <w:tcPr>
            <w:tcW w:w="484" w:type="pct"/>
            <w:vMerge w:val="restar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黔东经济带</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541" w:type="pct"/>
            <w:vMerge w:val="restar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布局</w:t>
            </w:r>
          </w:p>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要求</w:t>
            </w:r>
          </w:p>
        </w:tc>
        <w:tc>
          <w:tcPr>
            <w:tcW w:w="3974" w:type="pct"/>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1.禁止在城市规划区内新建改建扩建水泥、煤化工、燃煤火电、焦化、金属冶炼、陶瓷等大气污染严重的产业项目。</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禁止引进严重污染大气环境的落后生产工艺、落后设备。</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2.县级以上人民政府应当推动生态产业园区建设，鼓励和引导现有工业企业入驻产业园区。新建排放主要大气污染物的工业项目应当按照有关规定进入相应的产业园区。</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3.禁止在长江干支流岸线一公里范围内新建、扩建化工园区和化工项目。</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禁止在长江干流岸线三公里范围内和重要支流岸线一公里范围内新建、改建、扩建尾矿库；但是以提升安全、生态环境保护水平为目的的改建除外。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0" w:hRule="atLeast"/>
        </w:trPr>
        <w:tc>
          <w:tcPr>
            <w:tcW w:w="484" w:type="pct"/>
            <w:vMerge w:val="continue"/>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541"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污染物排放管控</w:t>
            </w:r>
          </w:p>
        </w:tc>
        <w:tc>
          <w:tcPr>
            <w:tcW w:w="3974" w:type="pct"/>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 xml:space="preserve">1.企业事业单位和其他生产经营者产生、收集、贮存、运输、利用、处置固体废物的，应当采取符合技术规范的防扬散、防流失、防渗漏或者其他措施，防止污染环境。任何单位和个人不得擅自倾倒、堆放、丢弃、遗撒固体废物。 </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禁止任何单位或者个人向江河、湖泊、渠道、水库及其最高水位线以下的滩地和岸坡以及法律、法规规定的其他地点倾倒、堆放、贮存固体废物。</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新建排放重点水污染物的工业项目应当进入开发区、工业园区等工业集聚区。鼓励和引导现有工业项目入驻工业集聚区。工业集聚区应当统筹规划、建设污水集中处理设施，并安装自动监测设施，与环境保护主管部门的污染源自动监控系统联网，实行工业污水集中处理。排污单位对污水进行预处理后向污水集中处理设施排放的，应当符合集中处理设施的接纳标准。</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工业集聚区未按照规划建设污水集中处理设施或者污水集中处理设施排放不达标的，环境保护主管部门应当暂停审批该工业集聚区新增重点水污染物排放总量的建设项目的环境影响评价文件。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0" w:hRule="atLeast"/>
        </w:trPr>
        <w:tc>
          <w:tcPr>
            <w:tcW w:w="484" w:type="pct"/>
            <w:vMerge w:val="continue"/>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541" w:type="pct"/>
            <w:vAlign w:val="center"/>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环境风险防控</w:t>
            </w:r>
          </w:p>
        </w:tc>
        <w:tc>
          <w:tcPr>
            <w:tcW w:w="3974" w:type="pct"/>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县级以上人民政府及其有关部门，以及可能发生水污染事件的企业事业单位和其他生产经营者应当采取有效措施依法做好突发水污染事件的风险防范、监控预警和应急处置等工作，加强突发水污染事件应急能力建设。</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2.县级以上人民政府环境保护主管部门应当建立水污染排放自动监测与异常报警管理机制，重点排污单位、工业集聚区应当建设水污染排放自动监测与异常报警设施。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5" w:hRule="atLeast"/>
        </w:trPr>
        <w:tc>
          <w:tcPr>
            <w:tcW w:w="484" w:type="pct"/>
            <w:vMerge w:val="continue"/>
          </w:tcPr>
          <w:p>
            <w:pPr>
              <w:widowControl/>
              <w:adjustRightInd w:val="0"/>
              <w:snapToGrid w:val="0"/>
              <w:jc w:val="center"/>
              <w:textAlignment w:val="center"/>
              <w:rPr>
                <w:rFonts w:hint="default" w:ascii="Times New Roman" w:hAnsi="Times New Roman" w:eastAsia="仿宋" w:cs="Times New Roman"/>
                <w:b w:val="0"/>
                <w:bCs w:val="0"/>
                <w:kern w:val="0"/>
                <w:szCs w:val="21"/>
                <w:lang w:bidi="ar"/>
              </w:rPr>
            </w:pPr>
          </w:p>
        </w:tc>
        <w:tc>
          <w:tcPr>
            <w:tcW w:w="541" w:type="pct"/>
            <w:vAlign w:val="center"/>
          </w:tcPr>
          <w:p>
            <w:pPr>
              <w:widowControl/>
              <w:adjustRightInd w:val="0"/>
              <w:snapToGrid w:val="0"/>
              <w:jc w:val="center"/>
              <w:textAlignment w:val="center"/>
              <w:rPr>
                <w:rFonts w:hint="eastAsia" w:ascii="Times New Roman" w:hAnsi="Times New Roman" w:eastAsia="仿宋" w:cs="Times New Roman"/>
                <w:b w:val="0"/>
                <w:bCs w:val="0"/>
                <w:kern w:val="0"/>
                <w:szCs w:val="21"/>
                <w:lang w:val="en-US" w:eastAsia="zh-CN" w:bidi="ar"/>
              </w:rPr>
            </w:pPr>
            <w:r>
              <w:rPr>
                <w:rFonts w:hint="default" w:ascii="Times New Roman" w:hAnsi="Times New Roman" w:eastAsia="仿宋" w:cs="Times New Roman"/>
                <w:b w:val="0"/>
                <w:bCs w:val="0"/>
                <w:kern w:val="0"/>
                <w:szCs w:val="21"/>
                <w:lang w:bidi="ar"/>
              </w:rPr>
              <w:t>资源利用效率</w:t>
            </w:r>
            <w:r>
              <w:rPr>
                <w:rFonts w:hint="eastAsia" w:ascii="Times New Roman" w:hAnsi="Times New Roman" w:eastAsia="仿宋" w:cs="Times New Roman"/>
                <w:b w:val="0"/>
                <w:bCs w:val="0"/>
                <w:kern w:val="0"/>
                <w:szCs w:val="21"/>
                <w:lang w:val="en-US" w:eastAsia="zh-CN" w:bidi="ar"/>
              </w:rPr>
              <w:t>要求</w:t>
            </w:r>
          </w:p>
        </w:tc>
        <w:tc>
          <w:tcPr>
            <w:tcW w:w="3974" w:type="pct"/>
            <w:vAlign w:val="center"/>
          </w:tcPr>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1.有下列情形之一的，禁止新建、扩建、改建地下水取水工程或者设施：</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（1）地表水能够满足用水需要的；</w:t>
            </w:r>
          </w:p>
          <w:p>
            <w:pPr>
              <w:keepNext w:val="0"/>
              <w:keepLines w:val="0"/>
              <w:pageBreakBefore w:val="0"/>
              <w:widowControl/>
              <w:kinsoku/>
              <w:wordWrap/>
              <w:overflowPunct/>
              <w:topLinePunct w:val="0"/>
              <w:autoSpaceDE/>
              <w:autoSpaceDN/>
              <w:bidi w:val="0"/>
              <w:adjustRightInd w:val="0"/>
              <w:snapToGrid w:val="0"/>
              <w:spacing w:line="300" w:lineRule="exact"/>
              <w:ind w:left="0" w:leftChars="0"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（2）公共供水管网覆盖范围内能够满足用水需要的；</w:t>
            </w:r>
          </w:p>
          <w:p>
            <w:pPr>
              <w:keepNext w:val="0"/>
              <w:keepLines w:val="0"/>
              <w:pageBreakBefore w:val="0"/>
              <w:widowControl/>
              <w:kinsoku/>
              <w:wordWrap/>
              <w:overflowPunct/>
              <w:topLinePunct w:val="0"/>
              <w:autoSpaceDE/>
              <w:autoSpaceDN/>
              <w:bidi w:val="0"/>
              <w:adjustRightInd w:val="0"/>
              <w:snapToGrid w:val="0"/>
              <w:spacing w:line="300" w:lineRule="exact"/>
              <w:ind w:left="0" w:leftChars="0"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（3）地下水开采达到或者超过年度取水计划可采总量控制的；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（4）因地下水开采引起地面沉降的；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（5）地下水水位低于规定控制水位的。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作为应急开采的地下水，只能作为应急时使用。</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新建、改建、扩建工业园区应当统筹规划建设工业废水集中处理和回用设施，实现水循环梯级优化利用和废水集中处理回用，建设节水型工业园区；已建成的工业园区应当按照节水型工业园区标准，逐步改造。工业企业应当使用先进节约用水技术、工艺和设备，采取循环用水、综合利用等措施，降低用水消耗，提高水的重复利用率。工业生产的设备冷却水、空调冷却水、锅炉冷凝水等应当回收利用，直接排放的，按其工艺设计最大排放量核减其用水指标。</w:t>
            </w:r>
          </w:p>
        </w:tc>
      </w:tr>
      <w:bookmarkEnd w:id="45"/>
      <w:bookmarkEnd w:id="46"/>
    </w:tbl>
    <w:p>
      <w:pPr>
        <w:rPr>
          <w:rFonts w:hint="default" w:ascii="Times New Roman" w:hAnsi="Times New Roman" w:cs="Times New Roman"/>
          <w:b w:val="0"/>
          <w:bCs w:val="0"/>
          <w:highlight w:val="yellow"/>
        </w:rPr>
      </w:pPr>
    </w:p>
    <w:p>
      <w:pPr>
        <w:rPr>
          <w:rFonts w:hint="default" w:ascii="Times New Roman" w:hAnsi="Times New Roman" w:cs="Times New Roman"/>
          <w:b w:val="0"/>
          <w:bCs w:val="0"/>
          <w:highlight w:val="yellow"/>
        </w:rPr>
      </w:pPr>
    </w:p>
    <w:p>
      <w:pPr>
        <w:rPr>
          <w:rFonts w:hint="default" w:ascii="Times New Roman" w:hAnsi="Times New Roman" w:cs="Times New Roman"/>
          <w:b w:val="0"/>
          <w:bCs w:val="0"/>
          <w:highlight w:val="yellow"/>
        </w:rPr>
      </w:pPr>
    </w:p>
    <w:p>
      <w:pPr>
        <w:rPr>
          <w:rFonts w:hint="default" w:ascii="Times New Roman" w:hAnsi="Times New Roman" w:cs="Times New Roman"/>
          <w:b w:val="0"/>
          <w:bCs w:val="0"/>
          <w:highlight w:val="yellow"/>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rPr>
      </w:pPr>
    </w:p>
    <w:p>
      <w:pPr>
        <w:rPr>
          <w:rFonts w:hint="default" w:ascii="Times New Roman" w:hAnsi="Times New Roman" w:cs="Times New Roman"/>
          <w:b w:val="0"/>
          <w:bCs w:val="0"/>
          <w:highlight w:val="yellow"/>
        </w:rPr>
      </w:pPr>
    </w:p>
    <w:bookmarkEnd w:id="24"/>
    <w:bookmarkEnd w:id="29"/>
    <w:bookmarkEnd w:id="31"/>
    <w:bookmarkEnd w:id="32"/>
    <w:bookmarkEnd w:id="33"/>
    <w:bookmarkEnd w:id="34"/>
    <w:bookmarkEnd w:id="35"/>
    <w:bookmarkEnd w:id="36"/>
    <w:bookmarkEnd w:id="37"/>
    <w:p>
      <w:pPr>
        <w:wordWrap w:val="0"/>
        <w:spacing w:line="500" w:lineRule="exact"/>
        <w:jc w:val="left"/>
        <w:outlineLvl w:val="0"/>
        <w:rPr>
          <w:rFonts w:hint="default" w:ascii="Times New Roman" w:hAnsi="Times New Roman" w:eastAsia="仿宋_GB2312" w:cs="Times New Roman"/>
          <w:b w:val="0"/>
          <w:bCs w:val="0"/>
          <w:sz w:val="32"/>
          <w:szCs w:val="32"/>
        </w:rPr>
        <w:sectPr>
          <w:pgSz w:w="11906" w:h="16838"/>
          <w:pgMar w:top="1440" w:right="1800" w:bottom="1440" w:left="1800" w:header="851" w:footer="992" w:gutter="0"/>
          <w:pgNumType w:fmt="decimal"/>
          <w:cols w:space="720" w:num="1"/>
          <w:docGrid w:type="lines" w:linePitch="312" w:charSpace="0"/>
        </w:sectPr>
      </w:pPr>
      <w:bookmarkStart w:id="47" w:name="_Toc20563"/>
    </w:p>
    <w:p>
      <w:pPr>
        <w:wordWrap w:val="0"/>
        <w:spacing w:line="500" w:lineRule="exact"/>
        <w:jc w:val="left"/>
        <w:outlineLvl w:val="0"/>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3.全省各市（州）普适性</w:t>
      </w:r>
      <w:r>
        <w:rPr>
          <w:rFonts w:hint="default" w:ascii="Times New Roman" w:hAnsi="Times New Roman" w:eastAsia="仿宋_GB2312" w:cs="Times New Roman"/>
          <w:b w:val="0"/>
          <w:bCs w:val="0"/>
          <w:sz w:val="32"/>
          <w:szCs w:val="32"/>
          <w:lang w:val="en-US" w:eastAsia="zh-CN"/>
        </w:rPr>
        <w:t>管控</w:t>
      </w:r>
      <w:r>
        <w:rPr>
          <w:rFonts w:hint="default" w:ascii="Times New Roman" w:hAnsi="Times New Roman" w:eastAsia="仿宋_GB2312" w:cs="Times New Roman"/>
          <w:b w:val="0"/>
          <w:bCs w:val="0"/>
          <w:sz w:val="32"/>
          <w:szCs w:val="32"/>
        </w:rPr>
        <w:t>要求</w:t>
      </w:r>
      <w:bookmarkEnd w:id="47"/>
    </w:p>
    <w:p>
      <w:pPr>
        <w:wordWrap w:val="0"/>
        <w:spacing w:line="500" w:lineRule="exact"/>
        <w:ind w:firstLine="482"/>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表3.1  各市（州）普适性</w:t>
      </w:r>
      <w:r>
        <w:rPr>
          <w:rFonts w:hint="default" w:ascii="Times New Roman" w:hAnsi="Times New Roman" w:cs="Times New Roman"/>
          <w:b w:val="0"/>
          <w:bCs w:val="0"/>
          <w:sz w:val="28"/>
          <w:szCs w:val="28"/>
          <w:lang w:val="en-US" w:eastAsia="zh-CN"/>
        </w:rPr>
        <w:t>管控</w:t>
      </w:r>
      <w:r>
        <w:rPr>
          <w:rFonts w:hint="default" w:ascii="Times New Roman" w:hAnsi="Times New Roman" w:cs="Times New Roman"/>
          <w:b w:val="0"/>
          <w:bCs w:val="0"/>
          <w:sz w:val="28"/>
          <w:szCs w:val="28"/>
        </w:rPr>
        <w:t>要求表</w:t>
      </w:r>
    </w:p>
    <w:tbl>
      <w:tblPr>
        <w:tblStyle w:val="1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47"/>
        <w:gridCol w:w="730"/>
        <w:gridCol w:w="6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tblHeader/>
        </w:trPr>
        <w:tc>
          <w:tcPr>
            <w:tcW w:w="388" w:type="pct"/>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适用范围</w:t>
            </w:r>
          </w:p>
        </w:tc>
        <w:tc>
          <w:tcPr>
            <w:tcW w:w="438" w:type="pct"/>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管控</w:t>
            </w:r>
          </w:p>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类型</w:t>
            </w:r>
          </w:p>
        </w:tc>
        <w:tc>
          <w:tcPr>
            <w:tcW w:w="4173" w:type="pct"/>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lang w:eastAsia="zh-CN"/>
              </w:rPr>
              <w:t>管控</w:t>
            </w:r>
            <w:r>
              <w:rPr>
                <w:rFonts w:hint="default" w:ascii="Times New Roman" w:hAnsi="Times New Roman" w:eastAsia="仿宋" w:cs="Times New Roman"/>
                <w:b w:val="0"/>
                <w:bCs w:val="0"/>
                <w:szCs w:val="21"/>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20" w:hRule="atLeast"/>
        </w:trPr>
        <w:tc>
          <w:tcPr>
            <w:tcW w:w="388" w:type="pct"/>
            <w:vMerge w:val="restart"/>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贵</w:t>
            </w:r>
          </w:p>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阳</w:t>
            </w:r>
          </w:p>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市</w:t>
            </w:r>
          </w:p>
        </w:tc>
        <w:tc>
          <w:tcPr>
            <w:tcW w:w="438" w:type="pct"/>
            <w:vMerge w:val="restart"/>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布局</w:t>
            </w:r>
          </w:p>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要求</w:t>
            </w:r>
          </w:p>
        </w:tc>
        <w:tc>
          <w:tcPr>
            <w:tcW w:w="4173" w:type="pct"/>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1.禁止在自然保护区内进行砍伐、放牧、狩猎、捕捞、采药、开垦、烧荒、开矿、采石、挖沙等活动；但是，法律、行政法规另有规定的除外。</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2.禁止在自然保护区的缓冲区开展旅游和生产经营活动。</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3.在风景名胜区内禁止进行下列活动：</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（1）</w:t>
            </w:r>
            <w:r>
              <w:rPr>
                <w:rFonts w:hint="default" w:ascii="Times New Roman" w:hAnsi="Times New Roman" w:eastAsia="仿宋" w:cs="Times New Roman"/>
                <w:b w:val="0"/>
                <w:bCs w:val="0"/>
                <w:szCs w:val="21"/>
              </w:rPr>
              <w:t>开山、采石、开矿、开荒、修坟立碑等破坏景观、植被和地形地貌的活动；</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（2）</w:t>
            </w:r>
            <w:r>
              <w:rPr>
                <w:rFonts w:hint="default" w:ascii="Times New Roman" w:hAnsi="Times New Roman" w:eastAsia="仿宋" w:cs="Times New Roman"/>
                <w:b w:val="0"/>
                <w:bCs w:val="0"/>
                <w:szCs w:val="21"/>
              </w:rPr>
              <w:t>修建储存爆炸性、易燃性、放射性、毒害性、腐蚀性物品的设施；</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（3）</w:t>
            </w:r>
            <w:r>
              <w:rPr>
                <w:rFonts w:hint="default" w:ascii="Times New Roman" w:hAnsi="Times New Roman" w:eastAsia="仿宋" w:cs="Times New Roman"/>
                <w:b w:val="0"/>
                <w:bCs w:val="0"/>
                <w:szCs w:val="21"/>
              </w:rPr>
              <w:t>在景物或者设施上刻划、涂污；</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eastAsia" w:ascii="Times New Roman" w:hAnsi="Times New Roman" w:eastAsia="仿宋" w:cs="Times New Roman"/>
                <w:b w:val="0"/>
                <w:bCs w:val="0"/>
                <w:szCs w:val="21"/>
                <w:lang w:eastAsia="zh-CN"/>
              </w:rPr>
              <w:t>（4）</w:t>
            </w:r>
            <w:r>
              <w:rPr>
                <w:rFonts w:hint="default" w:ascii="Times New Roman" w:hAnsi="Times New Roman" w:eastAsia="仿宋" w:cs="Times New Roman"/>
                <w:b w:val="0"/>
                <w:bCs w:val="0"/>
                <w:szCs w:val="21"/>
              </w:rPr>
              <w:t>乱扔垃圾。</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4.禁止违反风景名胜区规划，在风景名胜区内设立各类开发区和在核心景区内建设宾馆、招待所、培训中心、疗养院以及与风景名胜资源保护无关的其他建筑物；已经建设的，应当按照风景名胜区规划，逐步迁出。</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 xml:space="preserve">5.国家严格控制占用湿地。 </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 xml:space="preserve">禁止占用国家重要湿地，国家重大项目、防灾减灾项目、重要水利及保护设施项目、湿地保护项目等除外。 </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 xml:space="preserve">建设项目选址、选线应当避让湿地，无法避让的应当尽量减少占用，并采取必要措施减轻对湿地生态功能的不利影响。 </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6.鼓励和支持发展先进生产能力，依法依规限制和淘汰落后生产能力，防止盲目投资和低水平重复建设，切实推进产业结构优化升级。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52"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vMerge w:val="restart"/>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污染物排放管控</w:t>
            </w:r>
          </w:p>
        </w:tc>
        <w:tc>
          <w:tcPr>
            <w:tcW w:w="4173" w:type="pct"/>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1.市人民政府应当按照国务院下达的总量控制目标，控制或者削减本行政区域的重点大气污染物排放总量。</w:t>
            </w:r>
            <w:r>
              <w:rPr>
                <w:rFonts w:hint="default" w:ascii="Times New Roman" w:hAnsi="Times New Roman" w:eastAsia="仿宋" w:cs="Times New Roman"/>
                <w:b w:val="0"/>
                <w:bCs w:val="0"/>
                <w:kern w:val="0"/>
                <w:szCs w:val="21"/>
                <w:lang w:bidi="ar"/>
              </w:rPr>
              <w:t xml:space="preserve"> </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2.在禁燃区内，禁止销售、燃用高污染燃料；禁止新建、扩建燃用高污染燃料的设施，已建成的，应当在城市人民政府规定的期限内改用天然气、页岩气、液化石油气、电或者其他清洁能源。</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3.企业事业单位和其他生产经营者产生、收集、贮存、运输、利用、处置固体废物的，应当采取符合技术规范的防扬散、防流失、防渗漏或者其他措施，防止污染环境。任何单位和个人不得擅自倾倒、堆放、丢弃、遗撒固体废物。</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禁止任何单位或者个人向江河、湖泊、渠道、水库及其最高水位线以下的滩地和岸坡以及法律、法规规定的其他地点倾倒、堆放、贮存固体废物。</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4.新建排放重点水污染物的工业项目应当进入开发区、工业园区等工业集聚区。鼓励和引导现有工业项目入驻工业集聚区。</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5.从事畜禽养殖活动和畜禽养殖废弃物处理活动，应当及时对畜禽粪便、畜禽尸体、污水等进行收集、贮存、清运。</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畜禽养殖场、养殖小区向环境排放经过处理的畜禽养殖废弃物，应当符合国家和本省规定的污染物排放标准和总量控制指标。</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6.禁止下列破坏湿地及其生态功能的行为：排放不符合水污染物排放标准的工业废水、生活污水及其他污染湿地的废水、污水，倾倒、堆放、丢弃、遗撒固体废物。</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7.市辖各区、其他县城建成区和依法需要特殊保护的区域内禁止新建燃煤锅炉；其他区域内，鼓励使用燃气锅炉、电锅炉等清洁能源锅炉，新建燃煤锅炉应当按照国家、省的相关标准执行，已经建成的应当稳定达标排放。</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8.畜禽屠宰经营厂（场）和小规模畜禽养殖场、养殖小区的经营户，应当对污水、畜禽粪便、畜禽尸体等进行收集、贮存、清运和无害化处理，防止排放恶臭气体。</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在学校、托幼机构、医院、居民住宅区、商场以及其他公共场所周边区域建设小规模畜禽养殖场、养殖小区，或者露天进行喷漆、喷塑等产生含挥发性有机物废气的经营活动，应当设置合理的防护距离，防止排放恶臭气体、挥发性有机物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环境风险防控</w:t>
            </w:r>
          </w:p>
        </w:tc>
        <w:tc>
          <w:tcPr>
            <w:tcW w:w="4173" w:type="pct"/>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1.县级以上人民政府应当加强饮用水水源应急管理，制定突发事件应急预案，建设两个以上相对独立的饮用水水源地。对不具备条件建设备用水源的，应当采取措施与相邻地区实行联网供水。</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kern w:val="0"/>
                <w:szCs w:val="21"/>
                <w:lang w:bidi="ar"/>
              </w:rPr>
              <w:t>2.加强生态破坏风险防控与预警。严格落实环境影响评价制度，针对生态保护红线和自然保护地，以及生态环境敏感区域的开发建设项目，推动实施主体进行充分论证和生态影响评估，杜绝各类违反法律法规、“三线一单”生态环境分区管控和国土空间管控要求的开发建设项目。加强生态保护监管重点区域以及因人类活动导致土地利用频繁变化区域的生态破坏风险防控与预警，降低开发建设可能造成的生态破坏风险，加强重大生态破坏事件的防控。加强噪声、光污染等可能威胁生态系统和物种安全的生态风险防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资源利用效率</w:t>
            </w:r>
            <w:r>
              <w:rPr>
                <w:rFonts w:hint="default" w:ascii="Times New Roman" w:hAnsi="Times New Roman" w:eastAsia="仿宋" w:cs="Times New Roman"/>
                <w:b w:val="0"/>
                <w:bCs w:val="0"/>
                <w:color w:val="000000" w:themeColor="text1"/>
                <w:szCs w:val="21"/>
                <w14:textFill>
                  <w14:solidFill>
                    <w14:schemeClr w14:val="tx1"/>
                  </w14:solidFill>
                </w14:textFill>
              </w:rPr>
              <w:t>要求</w:t>
            </w:r>
          </w:p>
        </w:tc>
        <w:tc>
          <w:tcPr>
            <w:tcW w:w="4173" w:type="pct"/>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县级以上人民政府水行政主管部门应当会同生态环境等主管部门，制定河湖生态流量管控指标，确定河流的合理流量和湖泊、水库的合理水位。水库、水电站、航运枢纽等工程的管理单位应当将生态用水调度纳入日常运行调度规程，建立常规生态调度机制，保障河湖生态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30" w:hRule="atLeast"/>
        </w:trPr>
        <w:tc>
          <w:tcPr>
            <w:tcW w:w="388" w:type="pct"/>
            <w:vMerge w:val="restart"/>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遵</w:t>
            </w:r>
          </w:p>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义</w:t>
            </w:r>
          </w:p>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市</w:t>
            </w:r>
          </w:p>
        </w:tc>
        <w:tc>
          <w:tcPr>
            <w:tcW w:w="438" w:type="pct"/>
            <w:vMerge w:val="restart"/>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布局要求</w:t>
            </w:r>
          </w:p>
        </w:tc>
        <w:tc>
          <w:tcPr>
            <w:tcW w:w="4173" w:type="pct"/>
            <w:shd w:val="clear" w:color="auto" w:fill="auto"/>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1.禁止在长江干支流岸线一公里范围内新建、扩建化工园区和化工项目。</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禁止在长江干流岸线三公里范围内和重要支流岸线一公里范围内新建、改建、扩建尾矿库；但是以提升安全、生态环境保护水平为目的的改建除外。</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2.赤水河流域县级以上人民政府应当根据流域产业发展规划，将节水、节能、节地、资源综合利用、可再生能源项目列为重点发展领域，积极采取措施发展低水耗、低能耗、高附加值的产业。</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3.乌江流域产业结构和布局应当与乌江流域生态系统和资源环境承载能力相适应。禁止在乌江流域重点生态功能区布局对生态系统有严重影响的产业。</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4.禁止在乌江流域内发展下列产业：</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（1）</w:t>
            </w:r>
            <w:r>
              <w:rPr>
                <w:rFonts w:hint="default" w:ascii="Times New Roman" w:hAnsi="Times New Roman" w:eastAsia="仿宋" w:cs="Times New Roman"/>
                <w:b w:val="0"/>
                <w:bCs w:val="0"/>
                <w:kern w:val="0"/>
                <w:szCs w:val="21"/>
                <w:lang w:bidi="ar"/>
              </w:rPr>
              <w:t>不符合国家产业政策的；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（2）</w:t>
            </w:r>
            <w:r>
              <w:rPr>
                <w:rFonts w:hint="default" w:ascii="Times New Roman" w:hAnsi="Times New Roman" w:eastAsia="仿宋" w:cs="Times New Roman"/>
                <w:b w:val="0"/>
                <w:bCs w:val="0"/>
                <w:kern w:val="0"/>
                <w:szCs w:val="21"/>
                <w:lang w:bidi="ar"/>
              </w:rPr>
              <w:t>不符合生态环境保护要求的；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（3）</w:t>
            </w:r>
            <w:r>
              <w:rPr>
                <w:rFonts w:hint="default" w:ascii="Times New Roman" w:hAnsi="Times New Roman" w:eastAsia="仿宋" w:cs="Times New Roman"/>
                <w:b w:val="0"/>
                <w:bCs w:val="0"/>
                <w:kern w:val="0"/>
                <w:szCs w:val="21"/>
                <w:lang w:bidi="ar"/>
              </w:rPr>
              <w:t>不符合乌江流域综合保护规划的。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5.乌江流域县级以上人民政府依法划定禁止采砂区和禁止采砂期，严格控制采砂区域、采砂总量和采砂区域内的采砂船舶数量。禁止在乌江流域禁止采砂区和禁止采砂期从事采砂活动。</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szCs w:val="21"/>
              </w:rPr>
              <w:t>6.湘江沿岸新建排放重点水污染物的工业项目应当进入开发区、工业园区等工业集聚区。鼓励和引导现有工业项目入驻工业集聚区。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25"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vMerge w:val="restart"/>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污染物排放管控</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eastAsia" w:ascii="Times New Roman" w:hAnsi="Times New Roman" w:eastAsia="仿宋" w:cs="Times New Roman"/>
                <w:b w:val="0"/>
                <w:bCs w:val="0"/>
                <w:szCs w:val="21"/>
                <w:lang w:eastAsia="zh-CN"/>
              </w:rPr>
            </w:pPr>
            <w:r>
              <w:rPr>
                <w:rFonts w:hint="default" w:ascii="Times New Roman" w:hAnsi="Times New Roman" w:eastAsia="仿宋" w:cs="Times New Roman"/>
                <w:b w:val="0"/>
                <w:bCs w:val="0"/>
                <w:szCs w:val="21"/>
              </w:rPr>
              <w:t>1.禁止在城市规划区内新建改建扩建水泥、煤化工、燃煤火电、焦化、金属冶炼、陶瓷等大气污染严重的产业项目。禁止引进严重污染大气环境的落后生产工艺、落后设备</w:t>
            </w:r>
            <w:r>
              <w:rPr>
                <w:rFonts w:hint="eastAsia" w:ascii="Times New Roman" w:hAnsi="Times New Roman" w:eastAsia="仿宋" w:cs="Times New Roman"/>
                <w:b w:val="0"/>
                <w:bCs w:val="0"/>
                <w:szCs w:val="21"/>
                <w:lang w:eastAsia="zh-CN"/>
              </w:rPr>
              <w:t>。</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szCs w:val="21"/>
              </w:rPr>
              <w:t>2.禁止向农用地排放重金属或者其他有毒有害物质含量超标的污水、污泥，以及可能造成土壤污染的清淤底泥、尾矿、矿渣等。县级以上人民政府有关部门应当加强对畜禽粪便、沼渣、沼液等收集、贮存、利用、处置的监督管理，防止土壤污染。</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城镇公共污水收集管网覆盖区域，不得向湘江水体直排生活污水，排水单位和个人应当按照国家规定将污水排入城镇排水设施。公共污水收集管网尚不能覆盖的区域，应当自行建设配套的污水处理设施，确保生活污水达标排放。向公共污水收集管网排放水污染物，应当达到截污纳管要求。</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湘江沿岸企业事业单位和其他生产经营者应当依法建立完善环境保护责任制度，建设、完善企业污水处理设施并保持处理设施正常运行，禁止通过未经批准的排污口排放水污染物或者利用渗井、渗坑、裂隙、溶洞，私设暗管，篡改、伪造监测数据，或者不正常运行水污染防治设施等逃避监管的方式排放水污染物。</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5.在湘江设置排放水污染物的排污口应当满足受纳水体功能区划要求，不得超过国家、地方规定的水污染物排放标准和重点水污染物排放总量控制指标排放。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94"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环境风险防控</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1.实施风险管控、修复活动，应当因地制宜、科学合理，提高针对性和有效性。实施风险管控、修复活动，不得对土壤和周边环境造成新的污染。</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szCs w:val="21"/>
              </w:rPr>
              <w:t>2.</w:t>
            </w:r>
            <w:r>
              <w:rPr>
                <w:rFonts w:hint="default" w:ascii="Times New Roman" w:hAnsi="Times New Roman" w:eastAsia="仿宋" w:cs="Times New Roman"/>
                <w:b w:val="0"/>
                <w:bCs w:val="0"/>
                <w:kern w:val="0"/>
                <w:szCs w:val="21"/>
                <w:lang w:bidi="ar"/>
              </w:rPr>
              <w:t>建立湘江环境污染监测预警机制，重点污染行业的企业事业单位应当依法制定突发水环境事件应急预案，报生态环境行政主管部门备案。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22"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kern w:val="0"/>
                <w:szCs w:val="21"/>
                <w:lang w:bidi="ar"/>
              </w:rPr>
              <w:t>资源利用效率</w:t>
            </w:r>
            <w:r>
              <w:rPr>
                <w:rFonts w:hint="default" w:ascii="Times New Roman" w:hAnsi="Times New Roman" w:eastAsia="仿宋" w:cs="Times New Roman"/>
                <w:b w:val="0"/>
                <w:bCs w:val="0"/>
                <w:color w:val="000000" w:themeColor="text1"/>
                <w:szCs w:val="21"/>
                <w14:textFill>
                  <w14:solidFill>
                    <w14:schemeClr w14:val="tx1"/>
                  </w14:solidFill>
                </w14:textFill>
              </w:rPr>
              <w:t>要求</w:t>
            </w:r>
          </w:p>
        </w:tc>
        <w:tc>
          <w:tcPr>
            <w:tcW w:w="4173" w:type="pct"/>
            <w:shd w:val="clear" w:color="auto" w:fill="auto"/>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1.湘江实行最严格的水资源管理制度，建立水资源消耗总量和强度双控管理制度。湘江水资源开发利用应当符合水资源保护规划，优先满足城乡居民生活用水，兼顾农业、工业、生态环境等用水需要。</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2.在湘江沿岸从事地下勘探、采矿、工程降排水、地下空间开发利用等可能干扰地下含水层的活动，应当采取措施防止污染或者破坏地下水资源；输送、贮存污水或者其他废弃物应当采取防渗漏、防流失等措施。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10" w:hRule="atLeast"/>
        </w:trPr>
        <w:tc>
          <w:tcPr>
            <w:tcW w:w="388" w:type="pct"/>
            <w:vMerge w:val="restart"/>
            <w:shd w:val="clear" w:color="auto" w:fill="auto"/>
            <w:tcMar>
              <w:top w:w="15" w:type="dxa"/>
              <w:left w:w="15" w:type="dxa"/>
              <w:right w:w="15" w:type="dxa"/>
            </w:tcMar>
            <w:vAlign w:val="center"/>
          </w:tcPr>
          <w:p>
            <w:pPr>
              <w:jc w:val="center"/>
              <w:rPr>
                <w:rStyle w:val="17"/>
                <w:rFonts w:hint="default" w:ascii="Times New Roman" w:hAnsi="Times New Roman" w:eastAsia="仿宋" w:cs="Times New Roman"/>
                <w:b w:val="0"/>
                <w:bCs w:val="0"/>
                <w:szCs w:val="21"/>
              </w:rPr>
            </w:pPr>
            <w:r>
              <w:rPr>
                <w:rStyle w:val="17"/>
                <w:rFonts w:hint="default" w:ascii="Times New Roman" w:hAnsi="Times New Roman" w:eastAsia="仿宋" w:cs="Times New Roman"/>
                <w:b w:val="0"/>
                <w:bCs w:val="0"/>
                <w:szCs w:val="21"/>
              </w:rPr>
              <w:t>六</w:t>
            </w:r>
          </w:p>
          <w:p>
            <w:pPr>
              <w:jc w:val="center"/>
              <w:rPr>
                <w:rStyle w:val="17"/>
                <w:rFonts w:hint="default" w:ascii="Times New Roman" w:hAnsi="Times New Roman" w:eastAsia="仿宋" w:cs="Times New Roman"/>
                <w:b w:val="0"/>
                <w:bCs w:val="0"/>
                <w:szCs w:val="21"/>
              </w:rPr>
            </w:pPr>
            <w:r>
              <w:rPr>
                <w:rStyle w:val="17"/>
                <w:rFonts w:hint="default" w:ascii="Times New Roman" w:hAnsi="Times New Roman" w:eastAsia="仿宋" w:cs="Times New Roman"/>
                <w:b w:val="0"/>
                <w:bCs w:val="0"/>
                <w:szCs w:val="21"/>
              </w:rPr>
              <w:t>盘</w:t>
            </w:r>
          </w:p>
          <w:p>
            <w:pPr>
              <w:jc w:val="center"/>
              <w:rPr>
                <w:rStyle w:val="17"/>
                <w:rFonts w:hint="default" w:ascii="Times New Roman" w:hAnsi="Times New Roman" w:eastAsia="仿宋" w:cs="Times New Roman"/>
                <w:b w:val="0"/>
                <w:bCs w:val="0"/>
                <w:szCs w:val="21"/>
              </w:rPr>
            </w:pPr>
            <w:r>
              <w:rPr>
                <w:rStyle w:val="17"/>
                <w:rFonts w:hint="default" w:ascii="Times New Roman" w:hAnsi="Times New Roman" w:eastAsia="仿宋" w:cs="Times New Roman"/>
                <w:b w:val="0"/>
                <w:bCs w:val="0"/>
                <w:szCs w:val="21"/>
              </w:rPr>
              <w:t>水</w:t>
            </w:r>
          </w:p>
          <w:p>
            <w:pPr>
              <w:jc w:val="center"/>
              <w:rPr>
                <w:rFonts w:hint="default" w:ascii="Times New Roman" w:hAnsi="Times New Roman" w:eastAsia="仿宋" w:cs="Times New Roman"/>
                <w:b w:val="0"/>
                <w:bCs w:val="0"/>
                <w:szCs w:val="21"/>
              </w:rPr>
            </w:pPr>
            <w:r>
              <w:rPr>
                <w:rStyle w:val="17"/>
                <w:rFonts w:hint="default" w:ascii="Times New Roman" w:hAnsi="Times New Roman" w:eastAsia="仿宋" w:cs="Times New Roman"/>
                <w:b w:val="0"/>
                <w:bCs w:val="0"/>
                <w:szCs w:val="21"/>
              </w:rPr>
              <w:t>市</w:t>
            </w:r>
          </w:p>
        </w:tc>
        <w:tc>
          <w:tcPr>
            <w:tcW w:w="438" w:type="pct"/>
            <w:shd w:val="clear" w:color="auto" w:fill="auto"/>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布局</w:t>
            </w:r>
          </w:p>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要求</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1.严格限制装载危险化学品、有毒有害物质、油类的交通工具进入集中式饮用水水源保护区。确需进入的，应当采取相应的安全防护措施后向相关部门申请办理通行手续。</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2.新建、扩建钢铁、水泥、平板玻璃、电解铝等高耗能高排放项目严格落实产能等量或减量置换。未纳入国家有关领域产业规划的，一律不得新建改扩建炼油和新建乙烯、对二甲苯、煤制烯烃项目。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6"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shd w:val="clear" w:color="auto" w:fill="auto"/>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污染物排放管控要求</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推进钢铁、水泥、焦化行业及燃煤锅炉超低排放改造。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shd w:val="clear" w:color="auto" w:fill="auto"/>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环境风险防控</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1.根据《“十四五”危险化学品安全生产规划方案》要求，落实企业隐患排查治理制度。执行危险化学品企业安全风险隐患排查治理导则规定，落实行业隐患排查指南要求。</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2.根据《“十四五”危险化学品安全生产规划方案》要求，配合开展专项排查整治工作。深入推进以重大危险源、重点行业为主要对象的常规性专项检查，及时组织以事故教训吸取、重大活动期间隐患排查整治为内容的非常规专项排查整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32"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vMerge w:val="restart"/>
            <w:shd w:val="clear" w:color="auto" w:fill="auto"/>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资源利用效率要求</w:t>
            </w:r>
          </w:p>
        </w:tc>
        <w:tc>
          <w:tcPr>
            <w:tcW w:w="4173" w:type="pct"/>
            <w:shd w:val="clear" w:color="auto" w:fill="auto"/>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1.统筹资源能源开发与保护。按照资源型地区资源环境特征，强化国土空间规划和用途管制，落实永久基本农田、生态保护红线、城镇开发边界等空间管控边界，确保资源能源的有序开发利用和保护。</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2.严格控制化石能源消费。加快煤炭减量步伐，“十四五”时期严控煤炭消费增长，“十五五”时期逐步减少。石油消费“十五五”时期进入峰值平台期。统筹煤电发展和保供调峰，严控煤电装机规模，加快现役煤电机组节能升级和灵活性改造。逐步减少直至禁止煤炭散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15" w:hRule="atLeast"/>
        </w:trPr>
        <w:tc>
          <w:tcPr>
            <w:tcW w:w="388" w:type="pct"/>
            <w:vMerge w:val="restar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安</w:t>
            </w:r>
          </w:p>
          <w:p>
            <w:pPr>
              <w:wordWrap w:val="0"/>
              <w:snapToGrid w:val="0"/>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顺</w:t>
            </w:r>
          </w:p>
          <w:p>
            <w:pPr>
              <w:wordWrap w:val="0"/>
              <w:snapToGrid w:val="0"/>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市</w:t>
            </w:r>
          </w:p>
        </w:tc>
        <w:tc>
          <w:tcPr>
            <w:tcW w:w="438" w:type="pct"/>
            <w:vMerge w:val="restar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布局</w:t>
            </w:r>
          </w:p>
          <w:p>
            <w:pPr>
              <w:wordWrap w:val="0"/>
              <w:snapToGrid w:val="0"/>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要求</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1.禁止在下列区域内建设畜禽养殖场、养殖小区：饮用水水源保护区，风景名胜区；自然保护区的核心区和缓冲区；城镇居民区、文化教育科学研究区等人口集中区域；法律、法规规定的其他禁止养殖区域。</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2.坚定不移推进长江十年禁渔工作。</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3.组织开展小水电站生态流量确定、泄放设施改造、生态调度运行、监测监控等工作。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9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污染物排放管控</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auto"/>
                <w:szCs w:val="21"/>
              </w:rPr>
            </w:pPr>
            <w:r>
              <w:rPr>
                <w:rFonts w:hint="default" w:ascii="Times New Roman" w:hAnsi="Times New Roman" w:eastAsia="仿宋" w:cs="Times New Roman"/>
                <w:b w:val="0"/>
                <w:bCs w:val="0"/>
                <w:color w:val="auto"/>
                <w:szCs w:val="21"/>
              </w:rPr>
              <w:t>1.污水处理</w:t>
            </w:r>
            <w:r>
              <w:rPr>
                <w:rFonts w:hint="eastAsia" w:ascii="Times New Roman" w:hAnsi="Times New Roman" w:eastAsia="仿宋" w:cs="Times New Roman"/>
                <w:b w:val="0"/>
                <w:bCs w:val="0"/>
                <w:color w:val="auto"/>
                <w:szCs w:val="21"/>
                <w:lang w:val="en-US" w:eastAsia="zh-CN"/>
              </w:rPr>
              <w:t>工程</w:t>
            </w:r>
            <w:r>
              <w:rPr>
                <w:rFonts w:hint="default" w:ascii="Times New Roman" w:hAnsi="Times New Roman" w:eastAsia="仿宋" w:cs="Times New Roman"/>
                <w:b w:val="0"/>
                <w:bCs w:val="0"/>
                <w:color w:val="auto"/>
                <w:szCs w:val="21"/>
              </w:rPr>
              <w:t>建设重点逐步向中小城镇及农村倾斜，加快推进经济相对发达、居民集中的建制镇污水处理设施建设，并适度向城镇周边农村延伸。</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auto"/>
                <w:szCs w:val="21"/>
              </w:rPr>
            </w:pPr>
            <w:r>
              <w:rPr>
                <w:rFonts w:hint="default" w:ascii="Times New Roman" w:hAnsi="Times New Roman" w:eastAsia="仿宋" w:cs="Times New Roman"/>
                <w:b w:val="0"/>
                <w:bCs w:val="0"/>
                <w:color w:val="auto"/>
                <w:szCs w:val="21"/>
              </w:rPr>
              <w:t>2.推进城市生活污水管网建设和改造，实施混错接管网改造、老旧破损管网更新修复，加快补齐处理能力缺口，推行污水资源化利用和污泥无害化处置。建设分类投放、分类收集、分类运输、分类处理的生活垃圾</w:t>
            </w:r>
            <w:r>
              <w:rPr>
                <w:rFonts w:hint="eastAsia" w:ascii="Times New Roman" w:hAnsi="Times New Roman" w:eastAsia="仿宋" w:cs="Times New Roman"/>
                <w:b w:val="0"/>
                <w:bCs w:val="0"/>
                <w:color w:val="auto"/>
                <w:szCs w:val="21"/>
                <w:lang w:val="en-US" w:eastAsia="zh-CN"/>
              </w:rPr>
              <w:t>处理</w:t>
            </w:r>
            <w:r>
              <w:rPr>
                <w:rFonts w:hint="default" w:ascii="Times New Roman" w:hAnsi="Times New Roman" w:eastAsia="仿宋" w:cs="Times New Roman"/>
                <w:b w:val="0"/>
                <w:bCs w:val="0"/>
                <w:color w:val="auto"/>
                <w:szCs w:val="21"/>
              </w:rPr>
              <w:t>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5"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环境风险防控</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加强工业园区等重点区域安全管理，按照危险化学品、烟花爆竹、矿山、工贸等“禁限控”目录，落实安全风险评估与论证机制，企业安全生产标准化建设，实现安全管理、操作行为、设施设备和作业环境规范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8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资源利用效率要求</w:t>
            </w:r>
          </w:p>
        </w:tc>
        <w:tc>
          <w:tcPr>
            <w:tcW w:w="4173" w:type="pct"/>
            <w:shd w:val="clear" w:color="auto" w:fill="auto"/>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kern w:val="0"/>
                <w:szCs w:val="21"/>
                <w:lang w:bidi="ar"/>
              </w:rPr>
              <w:t>县级以上人民政府水行政主管部门应当会同生态环境等主管部门，制定河湖生态流量管控指标，确定河流的合理流量和湖泊、水库的合理水位。水库、水电站、航运枢纽等工程的管理单位应当将生态用水调度纳入日常运行调度规程，建立常规生态调度机制，保障河湖生态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10" w:hRule="atLeast"/>
        </w:trPr>
        <w:tc>
          <w:tcPr>
            <w:tcW w:w="388" w:type="pct"/>
            <w:vMerge w:val="restart"/>
            <w:shd w:val="clear" w:color="auto" w:fill="auto"/>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毕</w:t>
            </w:r>
          </w:p>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节</w:t>
            </w:r>
          </w:p>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市</w:t>
            </w:r>
          </w:p>
        </w:tc>
        <w:tc>
          <w:tcPr>
            <w:tcW w:w="438" w:type="pct"/>
            <w:vMerge w:val="restart"/>
            <w:shd w:val="clear" w:color="auto" w:fill="auto"/>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布局</w:t>
            </w:r>
          </w:p>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要求</w:t>
            </w:r>
          </w:p>
        </w:tc>
        <w:tc>
          <w:tcPr>
            <w:tcW w:w="4173" w:type="pct"/>
            <w:shd w:val="clear" w:color="auto" w:fill="auto"/>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1.禁止在长江干支流岸线一公里范围内新建、扩建化工园区和化工项目。</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禁止在长江干流岸线三公里范围内和重要支流岸线一公里范围内新建、改建、扩建尾矿库；但是以提升安全、生态环境保护水平为目的的改建除外。</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2.在国家规定的期限内，禁止在乌江重点水域进行天然渔业资源的生产性捕捞，禁止收购、销售和加工乌江流域非法捕捞渔获物。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3.乌江流域产业结构和布局应当与乌江流域生态系统和资源环境承载能力相适应。禁止在乌江流域重点生态功能区布局对生态系统有严重影响的产业。</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4.乌江流域县级以上人民政府依法划定禁止采砂区和禁止采砂期，严格控制采砂区域、采砂总量和采砂区域内的采砂船舶数量。禁止在乌江流域禁止采砂区和禁止采砂期从事采砂活动。</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5.禁止在乌江流域内发展下列产业：</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（1）不符合国家产业政策的；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（2）不符合生态环境保护要求的；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（3）不符合乌江流域综合保护规划的。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6.禁止在乌江流域实施下列行为：</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（1）向水体排放、倾倒油类、酸液、碱液或者有毒废液；</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（2）在水体清洗装贮过油类或者有毒污染物的车辆、容器、包装物；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（3）向水体直接或者利用渗井、渗坑、溶洞、裂隙等间接排放、倾倒磷、锰、锑、汞等工业废渣或者其他废弃物；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（4）在流域河道管理范围内堆放、倾倒、存贮、掩埋固体废物或者其他污染物；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（5）使用国家明令禁止的农药，丢弃农药包装物、废物；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（6）生产、销售、使用含磷洗涤剂；</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（7）在河湖管理范围内建设妨碍行洪的建筑物、构筑物；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（8）擅自在河道中筑坝、擅自改变河道走向；</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（9）向水体排放、倾倒船舶垃圾、残油、废油；</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（10）法律、法规禁止的其他行为。</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7.矿产资源开发活动集中的区域，执行重点污染物特别排放限值。</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8.在集中供热管网覆盖地区，禁止新建、扩建分散燃煤供热锅炉。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vMerge w:val="restart"/>
            <w:shd w:val="clear" w:color="auto" w:fill="auto"/>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污染物排放管控</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28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1.禁止在城市规划区内新建改建扩建水泥、煤化工、燃煤火电、焦化、金属冶炼、陶瓷等大气污染严重的产业项目。禁止引进严重污染大气环境的落后生产工艺、落后设备。</w:t>
            </w:r>
          </w:p>
          <w:p>
            <w:pPr>
              <w:keepNext w:val="0"/>
              <w:keepLines w:val="0"/>
              <w:pageBreakBefore w:val="0"/>
              <w:widowControl/>
              <w:kinsoku/>
              <w:overflowPunct/>
              <w:topLinePunct w:val="0"/>
              <w:autoSpaceDE/>
              <w:autoSpaceDN/>
              <w:bidi w:val="0"/>
              <w:adjustRightInd w:val="0"/>
              <w:snapToGrid w:val="0"/>
              <w:spacing w:line="280" w:lineRule="exact"/>
              <w:ind w:firstLine="420" w:firstLineChars="200"/>
              <w:jc w:val="both"/>
              <w:textAlignment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kern w:val="0"/>
                <w:szCs w:val="21"/>
                <w:lang w:bidi="ar"/>
              </w:rPr>
              <w:t>2.按照实施乡村振兴战略总要求，强化源头减量、循环利用、污染治理、生态保护，推进农业面源污染防治，加大农村生活污水治理力度，稳步解决“垃圾围村”、农村黑臭水体等突出环境问题，深入打好农业农村污染治理攻坚战。</w:t>
            </w:r>
          </w:p>
          <w:p>
            <w:pPr>
              <w:keepNext w:val="0"/>
              <w:keepLines w:val="0"/>
              <w:pageBreakBefore w:val="0"/>
              <w:widowControl/>
              <w:kinsoku/>
              <w:overflowPunct/>
              <w:topLinePunct w:val="0"/>
              <w:autoSpaceDE/>
              <w:autoSpaceDN/>
              <w:bidi w:val="0"/>
              <w:adjustRightInd w:val="0"/>
              <w:snapToGrid w:val="0"/>
              <w:spacing w:line="28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3.有下列情形之一的，环境保护主管部门应当暂停审批新增重点水污染物排放总量的建设项目的环境影响评价文件：</w:t>
            </w:r>
          </w:p>
          <w:p>
            <w:pPr>
              <w:keepNext w:val="0"/>
              <w:keepLines w:val="0"/>
              <w:pageBreakBefore w:val="0"/>
              <w:widowControl/>
              <w:kinsoku/>
              <w:overflowPunct/>
              <w:topLinePunct w:val="0"/>
              <w:autoSpaceDE/>
              <w:autoSpaceDN/>
              <w:bidi w:val="0"/>
              <w:adjustRightInd w:val="0"/>
              <w:snapToGrid w:val="0"/>
              <w:spacing w:line="28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（1）未完成重点水污染物减排任务的；</w:t>
            </w:r>
          </w:p>
          <w:p>
            <w:pPr>
              <w:keepNext w:val="0"/>
              <w:keepLines w:val="0"/>
              <w:pageBreakBefore w:val="0"/>
              <w:widowControl/>
              <w:kinsoku/>
              <w:overflowPunct/>
              <w:topLinePunct w:val="0"/>
              <w:autoSpaceDE/>
              <w:autoSpaceDN/>
              <w:bidi w:val="0"/>
              <w:adjustRightInd w:val="0"/>
              <w:snapToGrid w:val="0"/>
              <w:spacing w:line="28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（2）未达到规定水环境质量目标的；</w:t>
            </w:r>
          </w:p>
          <w:p>
            <w:pPr>
              <w:keepNext w:val="0"/>
              <w:keepLines w:val="0"/>
              <w:pageBreakBefore w:val="0"/>
              <w:widowControl/>
              <w:kinsoku/>
              <w:overflowPunct/>
              <w:topLinePunct w:val="0"/>
              <w:autoSpaceDE/>
              <w:autoSpaceDN/>
              <w:bidi w:val="0"/>
              <w:adjustRightInd w:val="0"/>
              <w:snapToGrid w:val="0"/>
              <w:spacing w:line="28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（3）未完成限期达标规划的；</w:t>
            </w:r>
          </w:p>
          <w:p>
            <w:pPr>
              <w:keepNext w:val="0"/>
              <w:keepLines w:val="0"/>
              <w:pageBreakBefore w:val="0"/>
              <w:widowControl/>
              <w:kinsoku/>
              <w:overflowPunct/>
              <w:topLinePunct w:val="0"/>
              <w:autoSpaceDE/>
              <w:autoSpaceDN/>
              <w:bidi w:val="0"/>
              <w:adjustRightInd w:val="0"/>
              <w:snapToGrid w:val="0"/>
              <w:spacing w:line="280" w:lineRule="exact"/>
              <w:ind w:firstLine="420" w:firstLineChars="200"/>
              <w:jc w:val="both"/>
              <w:textAlignment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kern w:val="0"/>
                <w:szCs w:val="21"/>
                <w:lang w:bidi="ar"/>
              </w:rPr>
              <w:t>（4）法律法规规定的其他情形。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14"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vMerge w:val="restart"/>
            <w:shd w:val="clear" w:color="auto" w:fill="auto"/>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环境风险防控</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1.实施风险管控、修复活动，应当因地制宜、科学合理，提高针对性和有效性。实施风险管控、修复活动，不得对土壤和周边环境造成新的污染。</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2. 饮用水水源保护区内已存在的矿山应当限期关闭，并依法予以补偿。</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szCs w:val="21"/>
              </w:rPr>
            </w:pPr>
            <w:r>
              <w:rPr>
                <w:rFonts w:hint="default" w:ascii="Times New Roman" w:hAnsi="Times New Roman" w:eastAsia="仿宋" w:cs="Times New Roman"/>
                <w:b w:val="0"/>
                <w:bCs w:val="0"/>
                <w:kern w:val="0"/>
                <w:szCs w:val="21"/>
                <w:lang w:bidi="ar"/>
              </w:rPr>
              <w:t>矿山关闭应当制定生态修复方案，由采矿权人或者其他责任主体对生态环境进行修复。</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3.饮用水水源准保护区范围内的水污染物排放单位应当编制饮用水水源水环境突发事件应急预案，并报县级人民政府环境保护行政主管部门备案。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szCs w:val="21"/>
              </w:rPr>
            </w:pPr>
          </w:p>
        </w:tc>
        <w:tc>
          <w:tcPr>
            <w:tcW w:w="438" w:type="pct"/>
            <w:vMerge w:val="restart"/>
            <w:shd w:val="clear" w:color="auto" w:fill="auto"/>
            <w:tcMar>
              <w:top w:w="15" w:type="dxa"/>
              <w:left w:w="15" w:type="dxa"/>
              <w:right w:w="15" w:type="dxa"/>
            </w:tcMar>
            <w:vAlign w:val="center"/>
          </w:tcPr>
          <w:p>
            <w:pPr>
              <w:jc w:val="center"/>
              <w:rPr>
                <w:rFonts w:hint="default" w:ascii="Times New Roman" w:hAnsi="Times New Roman" w:eastAsia="仿宋" w:cs="Times New Roman"/>
                <w:b w:val="0"/>
                <w:bCs w:val="0"/>
                <w:szCs w:val="21"/>
              </w:rPr>
            </w:pPr>
            <w:r>
              <w:rPr>
                <w:rFonts w:hint="default" w:ascii="Times New Roman" w:hAnsi="Times New Roman" w:eastAsia="仿宋" w:cs="Times New Roman"/>
                <w:b w:val="0"/>
                <w:bCs w:val="0"/>
                <w:szCs w:val="21"/>
              </w:rPr>
              <w:t>资源利用效率</w:t>
            </w:r>
            <w:r>
              <w:rPr>
                <w:rFonts w:hint="default" w:ascii="Times New Roman" w:hAnsi="Times New Roman" w:eastAsia="仿宋" w:cs="Times New Roman"/>
                <w:b w:val="0"/>
                <w:bCs w:val="0"/>
                <w:color w:val="000000" w:themeColor="text1"/>
                <w:szCs w:val="21"/>
                <w14:textFill>
                  <w14:solidFill>
                    <w14:schemeClr w14:val="tx1"/>
                  </w14:solidFill>
                </w14:textFill>
              </w:rPr>
              <w:t>要求</w:t>
            </w:r>
          </w:p>
        </w:tc>
        <w:tc>
          <w:tcPr>
            <w:tcW w:w="4173" w:type="pct"/>
            <w:shd w:val="clear" w:color="auto" w:fill="auto"/>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1.县级以上人民政府水行政主管部门应当会同生态环境等主管部门，制定河湖生态流量管控指标，确定河流的合理流量和湖泊、水库的合理水位。</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水库、水电站、航运枢纽等工程的管理单位应当将生态用水调度纳入日常运行调度规程，建立常规生态调度机制，保障河湖生态流量。</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2.统筹资源能源开发与保护。按照资源型地区资源环境特征，强化国土空间规划和用途管制，落实永久基本农田、生态保护红线、城镇开发。边界等空间管控边界，确保资源能源的有序开发利用和保护。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95" w:hRule="atLeast"/>
        </w:trPr>
        <w:tc>
          <w:tcPr>
            <w:tcW w:w="388" w:type="pct"/>
            <w:vMerge w:val="restar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铜</w:t>
            </w:r>
          </w:p>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仁</w:t>
            </w:r>
          </w:p>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市</w:t>
            </w:r>
          </w:p>
        </w:tc>
        <w:tc>
          <w:tcPr>
            <w:tcW w:w="438" w:type="pct"/>
            <w:vMerge w:val="restar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布局</w:t>
            </w:r>
          </w:p>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要求</w:t>
            </w:r>
          </w:p>
        </w:tc>
        <w:tc>
          <w:tcPr>
            <w:tcW w:w="4173" w:type="pct"/>
            <w:shd w:val="clear" w:color="auto" w:fill="auto"/>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1.禁止在城市规划区内新建改建扩建水泥、煤化工、燃煤火电、焦化、金属冶炼、陶瓷等大气污染严重的产业项目。</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禁止引进严重污染大气环境的落后生产工艺、落后设备。</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2.县级以上人民政府应当推动生态产业园区建设，鼓励和引导现有工业企业入驻产业园区。新建排放主要大气污染物的工业项目应当按照有关规定进入相应的产业园区。</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3.禁止在长江干支流岸线一公里范围内新建、扩建化工园区和化工项目。</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禁止在长江干流岸线三公里范围内和重要支流岸线一公里范围内新建、改建、扩建尾矿库；但是以提升安全、生态环境保护水平为目的的改建除外。</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4.在河岸保护区内，禁止新建、改建、扩建排放污染物的工业建设项目。对严重污染水环境的落后工艺和设备实行淘汰制度。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8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38" w:type="pct"/>
            <w:vMerge w:val="restar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污染物排放管控</w:t>
            </w:r>
          </w:p>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173" w:type="pct"/>
            <w:shd w:val="clear" w:color="auto" w:fill="auto"/>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 xml:space="preserve">1.企业事业单位和其他生产经营者产生、收集、贮存、运输、利用、处置固体废物的，应当采取符合技术规范的防扬散、防流失、防渗漏或者其他措施，防止污染环境。任何单位和个人不得擅自倾倒、 堆放、丢弃、遗撒固体废物。 </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禁止任何单位或者个人向江河、湖泊、渠道、水库及其最高水位线以下的滩地和岸坡以及法律、法规规定的其他地点倾倒、堆放、贮存固体废物。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2.新建排放重点水污染物的工业项目应当进入开发区、工业园区等工业集聚区。鼓励和引导现有工业项目入驻工业集聚区。工业集聚区应当统筹规划、建设污水集中处理设施，并安装自动监测设施，与环境保护主管部门的污染源自动监控系统联网，实行工业污水集中处理。排污单位对污水进行预处理后向污水集中处理设施排放的，应当符合集中处理设施的接纳标准。</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3.乌江流域县级人民政府应当统筹推进历史遗留废弃锰矿山、锰渣库生态修复和污染治理。对于无法确定治理责任主体的锰矿山、锰渣库，由县级人民政府承担治理责任。严控新建、扩建锰渣库。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38" w:type="pct"/>
            <w:vMerge w:val="restar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环境风险防控</w:t>
            </w:r>
          </w:p>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1.县级以上人民政府及其有关部门，以及可能发生水污染事件的企业事业单位和其他生产经营者应当采取有效措施依法做好突发水污染事件的风险防范、监控预警和应急处置等工作，加强突发水污染事件应急能力建设。</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2.县级以上人民政府环境保护主管部门应当建立水污染排放自动监测与异常报警管理机制，重点排污单位、工业集聚区应当建设水污染排放自动监测与异常报警设施。县级以上人民政府环境保护主管部门应当会同有关部门针对饮用水水源等重要水体，构建风险预警体系，建立可能导致突发水污染事件的风险信息收集、分析和水环境演变态势研判机制，制定风险控制对策。</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3.根据《长江保护法》关于建立健全长江流域突发生态环境事件应急联动工作机制的规定，与国家突发事件应急体系相衔接，加强对长江流域船舶、港口、矿山、化工厂、尾矿库等发生的突发生态环境事件的应急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1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38" w:type="pc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资源利用效率要求</w:t>
            </w:r>
          </w:p>
        </w:tc>
        <w:tc>
          <w:tcPr>
            <w:tcW w:w="4173" w:type="pct"/>
            <w:shd w:val="clear" w:color="auto" w:fill="auto"/>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1.有下列情形之一的，禁止新建、扩建、改建地下水取水工程或者设施：</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（1）地表水能够满足用水需要的；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（2）公共供水管网覆盖范围内能够满足用水需要的；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（3）地下水开采达到或者超过年度取水计划可采总量控制的；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（4）因地下水开采引起地面沉降的；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（5）地下水水位低于规定控制水位的。</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作为应急开采的地下水，只能作为应急时使用。</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2.新建、改建、扩建工业园区应当统筹规划建设工业废水集中处理和回用设施，实现水循环梯级优化利用和废水集中处理回用，建设节水型工业园区；已建成的工业园区应当按照节水型工业园区标准，逐步改造。工业企业应当使用先进节约用水技术、工艺和设备，采取循环用水、综合利用等措施，降低用水消耗，提高水的重复利用率。工业生产的设备冷却水、空调冷却水、锅炉冷凝水等应当回收利用，直接排放的，按其工艺设计最大排放量核减其用水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2" w:hRule="atLeast"/>
        </w:trPr>
        <w:tc>
          <w:tcPr>
            <w:tcW w:w="388" w:type="pct"/>
            <w:vMerge w:val="restart"/>
            <w:shd w:val="clear" w:color="auto" w:fill="auto"/>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highlight w:val="none"/>
                <w14:textFill>
                  <w14:solidFill>
                    <w14:schemeClr w14:val="tx1"/>
                  </w14:solidFill>
                </w14:textFill>
              </w:rPr>
              <w:t>黔东南州</w:t>
            </w:r>
          </w:p>
          <w:p>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p>
        </w:tc>
        <w:tc>
          <w:tcPr>
            <w:tcW w:w="438" w:type="pct"/>
            <w:shd w:val="clear" w:color="auto" w:fill="auto"/>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highlight w:val="none"/>
                <w14:textFill>
                  <w14:solidFill>
                    <w14:schemeClr w14:val="tx1"/>
                  </w14:solidFill>
                </w14:textFill>
              </w:rPr>
              <w:t>布局要求</w:t>
            </w:r>
          </w:p>
        </w:tc>
        <w:tc>
          <w:tcPr>
            <w:tcW w:w="4173" w:type="pct"/>
            <w:shd w:val="clear" w:color="auto" w:fill="auto"/>
            <w:noWrap w:val="0"/>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highlight w:val="none"/>
                <w14:textFill>
                  <w14:solidFill>
                    <w14:schemeClr w14:val="tx1"/>
                  </w14:solidFill>
                </w14:textFill>
              </w:rPr>
            </w:pPr>
            <w:r>
              <w:rPr>
                <w:rFonts w:hint="default" w:ascii="Times New Roman" w:hAnsi="Times New Roman" w:eastAsia="仿宋" w:cs="Times New Roman"/>
                <w:b w:val="0"/>
                <w:bCs w:val="0"/>
                <w:color w:val="000000" w:themeColor="text1"/>
                <w:szCs w:val="21"/>
                <w:highlight w:val="none"/>
                <w:lang w:val="en-US" w:eastAsia="zh-CN"/>
                <w14:textFill>
                  <w14:solidFill>
                    <w14:schemeClr w14:val="tx1"/>
                  </w14:solidFill>
                </w14:textFill>
              </w:rPr>
              <w:t>1</w:t>
            </w:r>
            <w:r>
              <w:rPr>
                <w:rFonts w:hint="default" w:ascii="Times New Roman" w:hAnsi="Times New Roman" w:eastAsia="仿宋" w:cs="Times New Roman"/>
                <w:b w:val="0"/>
                <w:bCs w:val="0"/>
                <w:color w:val="000000" w:themeColor="text1"/>
                <w:szCs w:val="21"/>
                <w:highlight w:val="none"/>
                <w14:textFill>
                  <w14:solidFill>
                    <w14:schemeClr w14:val="tx1"/>
                  </w14:solidFill>
                </w14:textFill>
              </w:rPr>
              <w:t>.自治州行政区域内的大小河流、各类湖库、稻田等范围，禁止采取电击、投毒、爆炸等方式捕鱼。</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highlight w:val="none"/>
                <w:lang w:val="en-US" w:eastAsia="zh-CN"/>
                <w14:textFill>
                  <w14:solidFill>
                    <w14:schemeClr w14:val="tx1"/>
                  </w14:solidFill>
                </w14:textFill>
              </w:rPr>
              <w:t>2</w:t>
            </w:r>
            <w:r>
              <w:rPr>
                <w:rFonts w:hint="default" w:ascii="Times New Roman" w:hAnsi="Times New Roman" w:eastAsia="仿宋" w:cs="Times New Roman"/>
                <w:b w:val="0"/>
                <w:bCs w:val="0"/>
                <w:color w:val="000000" w:themeColor="text1"/>
                <w:szCs w:val="21"/>
                <w:highlight w:val="none"/>
                <w14:textFill>
                  <w14:solidFill>
                    <w14:schemeClr w14:val="tx1"/>
                  </w14:solidFill>
                </w14:textFill>
              </w:rPr>
              <w:t>.自治州行政区域内的铁路两旁、公路两旁、江河两岸、湖库周围，应当加强造林绿化，不得新建冶炼、化工、砖瓦制造、木炭生产、燃煤锅炉等产生废气的建设项目。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15" w:hRule="atLeast"/>
        </w:trPr>
        <w:tc>
          <w:tcPr>
            <w:tcW w:w="388" w:type="pct"/>
            <w:vMerge w:val="continue"/>
            <w:noWrap w:val="0"/>
            <w:tcMar>
              <w:top w:w="15" w:type="dxa"/>
              <w:left w:w="15" w:type="dxa"/>
              <w:right w:w="15" w:type="dxa"/>
            </w:tcMar>
            <w:vAlign w:val="center"/>
          </w:tcPr>
          <w:p>
            <w:pPr>
              <w:pageBreakBefore w:val="0"/>
              <w:kinsoku/>
              <w:overflowPunct/>
              <w:topLinePunct w:val="0"/>
              <w:autoSpaceDE/>
              <w:autoSpaceDN/>
              <w:bidi w:val="0"/>
              <w:spacing w:line="240" w:lineRule="auto"/>
              <w:jc w:val="center"/>
              <w:rPr>
                <w:rFonts w:hint="default" w:ascii="Times New Roman" w:hAnsi="Times New Roman" w:eastAsia="仿宋" w:cs="Times New Roman"/>
                <w:b w:val="0"/>
                <w:bCs w:val="0"/>
                <w:color w:val="000000" w:themeColor="text1"/>
                <w:sz w:val="21"/>
                <w:szCs w:val="21"/>
                <w:highlight w:val="none"/>
                <w:lang w:val="en-US" w:eastAsia="zh-CN"/>
                <w14:textFill>
                  <w14:solidFill>
                    <w14:schemeClr w14:val="tx1"/>
                  </w14:solidFill>
                </w14:textFill>
              </w:rPr>
            </w:pPr>
          </w:p>
        </w:tc>
        <w:tc>
          <w:tcPr>
            <w:tcW w:w="438" w:type="pct"/>
            <w:shd w:val="clear" w:color="auto" w:fill="auto"/>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highlight w:val="none"/>
                <w14:textFill>
                  <w14:solidFill>
                    <w14:schemeClr w14:val="tx1"/>
                  </w14:solidFill>
                </w14:textFill>
              </w:rPr>
              <w:t>污染物排放管控</w:t>
            </w:r>
          </w:p>
          <w:p>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p>
        </w:tc>
        <w:tc>
          <w:tcPr>
            <w:tcW w:w="4173" w:type="pct"/>
            <w:shd w:val="clear" w:color="auto" w:fill="auto"/>
            <w:noWrap w:val="0"/>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highlight w:val="none"/>
                <w14:textFill>
                  <w14:solidFill>
                    <w14:schemeClr w14:val="tx1"/>
                  </w14:solidFill>
                </w14:textFill>
              </w:rPr>
            </w:pPr>
            <w:r>
              <w:rPr>
                <w:rFonts w:hint="default" w:ascii="Times New Roman" w:hAnsi="Times New Roman" w:eastAsia="仿宋" w:cs="Times New Roman"/>
                <w:b w:val="0"/>
                <w:bCs w:val="0"/>
                <w:color w:val="000000" w:themeColor="text1"/>
                <w:szCs w:val="21"/>
                <w:highlight w:val="none"/>
                <w14:textFill>
                  <w14:solidFill>
                    <w14:schemeClr w14:val="tx1"/>
                  </w14:solidFill>
                </w14:textFill>
              </w:rPr>
              <w:t>1.新增污水集中处理设施同步配套建设服务片区内污水收集管网，确保污水有效收集。加快建设城中村、老旧城区、建制镇、城乡结合部和安置区生活污水收集管网，填补污水收集管网空白区。新建居住社区应同步规划、建设污水收集管网，推动支线管网和出户管的连接建设。开展老旧破损和易造成积水内涝问题的污水管网、雨污合流制管网诊断修复更新，循序推进管网错接混接漏接改造，提升污水收集效能。大力实施县城污水管网改造更新，基本解决市政污水管网混错接问题，基本消除生活污水直排。因地制宜实施雨污分流改造，暂不具备改造条件的，采取措施减少雨季溢流污染。</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highlight w:val="none"/>
                <w:lang w:val="en-US" w:eastAsia="zh-CN" w:bidi="ar"/>
                <w14:textFill>
                  <w14:solidFill>
                    <w14:schemeClr w14:val="tx1"/>
                  </w14:solidFill>
                </w14:textFill>
              </w:rPr>
              <w:t>2</w:t>
            </w:r>
            <w: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t xml:space="preserve">.企业事业单位和其他生产经营者产生、收集、贮存、运输、利用、处置固体废物的，应当采取符合技术规范的防扬散、防流失、防渗漏或者其他措施，防止污染环境。任何单位和个人不得擅自倾倒、 堆放、丢弃、遗撒固体废物。 </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t>禁止任何单位或者个人向江河、湖泊、渠道、水库及其最高水位线以下的滩地和岸坡以及法律、法规规定的其他地点倾倒、堆放、贮存固体废物。</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highlight w:val="none"/>
                <w:lang w:val="en-US" w:eastAsia="zh-CN"/>
                <w14:textFill>
                  <w14:solidFill>
                    <w14:schemeClr w14:val="tx1"/>
                  </w14:solidFill>
                </w14:textFill>
              </w:rPr>
              <w:t>3</w:t>
            </w:r>
            <w:r>
              <w:rPr>
                <w:rFonts w:hint="default" w:ascii="Times New Roman" w:hAnsi="Times New Roman" w:eastAsia="仿宋" w:cs="Times New Roman"/>
                <w:b w:val="0"/>
                <w:bCs w:val="0"/>
                <w:color w:val="000000" w:themeColor="text1"/>
                <w:szCs w:val="21"/>
                <w:highlight w:val="none"/>
                <w14:textFill>
                  <w14:solidFill>
                    <w14:schemeClr w14:val="tx1"/>
                  </w14:solidFill>
                </w14:textFill>
              </w:rPr>
              <w:t>.严格总磷排放控制，规范区域削减替代要求。地方生态环境部门应以环境质量改善为核心，严格总磷等主要污染物区域削减要求。建设项目所在水环境控制单元或断面总磷超标的，实施总磷排放量2倍或以上削减替代。所在水环境控制单元或断面总磷达标的，实施总磷排放量等量或以上削减替代。替代量应来源于项目同一水环境控制单元或断面上游拟实施关停、升级改造的工业企业，不得来源于农业源、城镇污水处理厂或已列入流域环境质量改善计划的工业企业，相应的减排措施应确保在项目投产前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388" w:type="pct"/>
            <w:vMerge w:val="continue"/>
            <w:noWrap w:val="0"/>
            <w:tcMar>
              <w:top w:w="15" w:type="dxa"/>
              <w:left w:w="15" w:type="dxa"/>
              <w:right w:w="15" w:type="dxa"/>
            </w:tcMar>
            <w:vAlign w:val="center"/>
          </w:tcPr>
          <w:p>
            <w:pPr>
              <w:pageBreakBefore w:val="0"/>
              <w:kinsoku/>
              <w:overflowPunct/>
              <w:topLinePunct w:val="0"/>
              <w:autoSpaceDE/>
              <w:autoSpaceDN/>
              <w:bidi w:val="0"/>
              <w:spacing w:line="240" w:lineRule="auto"/>
              <w:jc w:val="center"/>
              <w:rPr>
                <w:rFonts w:hint="default" w:ascii="Times New Roman" w:hAnsi="Times New Roman" w:eastAsia="仿宋" w:cs="Times New Roman"/>
                <w:b w:val="0"/>
                <w:bCs w:val="0"/>
                <w:color w:val="000000" w:themeColor="text1"/>
                <w:sz w:val="21"/>
                <w:szCs w:val="21"/>
                <w:highlight w:val="none"/>
                <w:lang w:val="en-US" w:eastAsia="zh-CN"/>
                <w14:textFill>
                  <w14:solidFill>
                    <w14:schemeClr w14:val="tx1"/>
                  </w14:solidFill>
                </w14:textFill>
              </w:rPr>
            </w:pPr>
          </w:p>
        </w:tc>
        <w:tc>
          <w:tcPr>
            <w:tcW w:w="438" w:type="pct"/>
            <w:shd w:val="clear" w:color="auto" w:fill="auto"/>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highlight w:val="none"/>
                <w14:textFill>
                  <w14:solidFill>
                    <w14:schemeClr w14:val="tx1"/>
                  </w14:solidFill>
                </w14:textFill>
              </w:rPr>
              <w:t>环境风险防控</w:t>
            </w:r>
          </w:p>
          <w:p>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p>
        </w:tc>
        <w:tc>
          <w:tcPr>
            <w:tcW w:w="4173" w:type="pct"/>
            <w:shd w:val="clear" w:color="auto" w:fill="auto"/>
            <w:noWrap w:val="0"/>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highlight w:val="none"/>
                <w14:textFill>
                  <w14:solidFill>
                    <w14:schemeClr w14:val="tx1"/>
                  </w14:solidFill>
                </w14:textFill>
              </w:rPr>
            </w:pPr>
            <w:r>
              <w:rPr>
                <w:rFonts w:hint="default" w:ascii="Times New Roman" w:hAnsi="Times New Roman" w:eastAsia="仿宋" w:cs="Times New Roman"/>
                <w:b w:val="0"/>
                <w:bCs w:val="0"/>
                <w:color w:val="000000" w:themeColor="text1"/>
                <w:szCs w:val="21"/>
                <w:highlight w:val="none"/>
                <w14:textFill>
                  <w14:solidFill>
                    <w14:schemeClr w14:val="tx1"/>
                  </w14:solidFill>
                </w14:textFill>
              </w:rPr>
              <w:t>1.县级以上人民政府及其有关部门，以及可能发生水污染事件的企业事业单位和其他生产经营者应当采取有效措施依法做好突发水污染事件的风险防范、监控预警和应急处置等工作，加强突发水污染事件应急能力建设。</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highlight w:val="none"/>
                <w14:textFill>
                  <w14:solidFill>
                    <w14:schemeClr w14:val="tx1"/>
                  </w14:solidFill>
                </w14:textFill>
              </w:rPr>
              <w:t>2.县级以上人民政府环境保护主管部门应当建立水污染排放自动监测与异常报警管理机制，重点排污单位、工业集聚区应当建设水污染排放自动监测与异常报警设施。县级以上人民政府环境保护主管部门应当会同有关部门针对饮用水水源等重要水体，构建风险预警体系，建立可能导致突发水污染事件的风险信息收集、分析和水环境演变态势研判机制，制定风险控制对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0" w:hRule="atLeast"/>
        </w:trPr>
        <w:tc>
          <w:tcPr>
            <w:tcW w:w="388" w:type="pct"/>
            <w:vMerge w:val="continue"/>
            <w:noWrap w:val="0"/>
            <w:tcMar>
              <w:top w:w="15" w:type="dxa"/>
              <w:left w:w="15" w:type="dxa"/>
              <w:right w:w="15" w:type="dxa"/>
            </w:tcMar>
            <w:vAlign w:val="center"/>
          </w:tcPr>
          <w:p>
            <w:pPr>
              <w:pageBreakBefore w:val="0"/>
              <w:kinsoku/>
              <w:overflowPunct/>
              <w:topLinePunct w:val="0"/>
              <w:autoSpaceDE/>
              <w:autoSpaceDN/>
              <w:bidi w:val="0"/>
              <w:spacing w:line="240" w:lineRule="auto"/>
              <w:jc w:val="center"/>
              <w:rPr>
                <w:rFonts w:hint="default" w:ascii="Times New Roman" w:hAnsi="Times New Roman" w:eastAsia="仿宋" w:cs="Times New Roman"/>
                <w:b w:val="0"/>
                <w:bCs w:val="0"/>
                <w:color w:val="000000" w:themeColor="text1"/>
                <w:sz w:val="21"/>
                <w:szCs w:val="21"/>
                <w:lang w:val="en-US" w:eastAsia="zh-CN"/>
                <w14:textFill>
                  <w14:solidFill>
                    <w14:schemeClr w14:val="tx1"/>
                  </w14:solidFill>
                </w14:textFill>
              </w:rPr>
            </w:pPr>
          </w:p>
        </w:tc>
        <w:tc>
          <w:tcPr>
            <w:tcW w:w="438" w:type="pct"/>
            <w:vMerge w:val="restart"/>
            <w:shd w:val="clear" w:color="auto" w:fill="auto"/>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资资源利用效率要求</w:t>
            </w:r>
          </w:p>
        </w:tc>
        <w:tc>
          <w:tcPr>
            <w:tcW w:w="4173" w:type="pct"/>
            <w:shd w:val="clear" w:color="auto" w:fill="auto"/>
            <w:noWrap w:val="0"/>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1.有下列情形之一的，禁止新建、扩建、改建地下水取水工程或者设施：</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（1）地表水能够满足用水需要的；</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eastAsia" w:ascii="Times New Roman" w:hAnsi="Times New Roman" w:eastAsia="仿宋" w:cs="Times New Roman"/>
                <w:b w:val="0"/>
                <w:bCs w:val="0"/>
                <w:color w:val="000000" w:themeColor="text1"/>
                <w:szCs w:val="21"/>
                <w:lang w:eastAsia="zh-CN"/>
                <w14:textFill>
                  <w14:solidFill>
                    <w14:schemeClr w14:val="tx1"/>
                  </w14:solidFill>
                </w14:textFill>
              </w:rPr>
              <w:t>（</w:t>
            </w:r>
            <w:r>
              <w:rPr>
                <w:rFonts w:hint="eastAsia" w:ascii="Times New Roman" w:hAnsi="Times New Roman" w:eastAsia="仿宋" w:cs="Times New Roman"/>
                <w:b w:val="0"/>
                <w:bCs w:val="0"/>
                <w:color w:val="000000" w:themeColor="text1"/>
                <w:szCs w:val="21"/>
                <w:lang w:val="en-US" w:eastAsia="zh-CN"/>
                <w14:textFill>
                  <w14:solidFill>
                    <w14:schemeClr w14:val="tx1"/>
                  </w14:solidFill>
                </w14:textFill>
              </w:rPr>
              <w:t>2</w:t>
            </w:r>
            <w:r>
              <w:rPr>
                <w:rFonts w:hint="default" w:ascii="Times New Roman" w:hAnsi="Times New Roman" w:eastAsia="仿宋" w:cs="Times New Roman"/>
                <w:b w:val="0"/>
                <w:bCs w:val="0"/>
                <w:color w:val="000000" w:themeColor="text1"/>
                <w:szCs w:val="21"/>
                <w14:textFill>
                  <w14:solidFill>
                    <w14:schemeClr w14:val="tx1"/>
                  </w14:solidFill>
                </w14:textFill>
              </w:rPr>
              <w:t>）公共供水管网覆盖范围内能够满足用水需要的；</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（3）地下水开采达到或者超过年度取水计划可采总量控制的；</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（4）因地下水开采引起地面沉降的；</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（5）地下水水位低于规定控制水位的。</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作为应急开采的地下水，只能作为应急时使用。</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仿宋"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新建、改建、扩建工业园区应当统筹规划建设工业废水集中处理和回用设施，实现水循环梯级优化利用和废水集中处理回用，建设节水型工业园区；已建成的工业园区应当按照节水型工业园区标准，逐步改造。工业企业应当使用先进节约用水技术、工艺和设备，采取循环用水、综合利用等措施，降低用水消耗，提高水的重复利用率。工业生产的设备冷却水、空调冷却水、锅炉冷凝水等应当回收利用，直接排放的，按其工艺设计最大排放量核减其用水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5" w:hRule="atLeast"/>
        </w:trPr>
        <w:tc>
          <w:tcPr>
            <w:tcW w:w="388" w:type="pct"/>
            <w:vMerge w:val="restar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黔南州</w:t>
            </w:r>
          </w:p>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38" w:type="pct"/>
            <w:vMerge w:val="restar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布局要求</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1.禁止在世界自然遗产地和国家级风景名胜区、自然保护区、森林公园、地质公园等从事矿产资源以及其他污染和破坏生态环境的开发活动。</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2.任何单位和个人不得在岩溶资源保护范围内进行垦荒、堆放废弃物及其他损害岩溶资源的活动；不得修建有损岩溶资源的设施； 对已建成并对岩溶资源造成损害或污染的设施，应当限期治理或者拆除。</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3.“三磷”建设项目选址不得位于饮用水水源保护区、自然保护区、风景名胜区以及国家法律法规明确的其他禁止建设区域。选址应避开岩溶强发育、存在较多落水洞或岩溶漏斗的区域。长江干流及主要支流岸线1公里范围内禁止新建、扩建磷矿、磷化工项目，长江干流3公里范围内、主要支流岸线1公里范围内禁止新建、扩建尾矿库和磷石膏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1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38" w:type="pc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污染物排放管控</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1.严格总磷排放控制，规范区域削减替代要求。地方生态环境部门应以环境质量改善为核心，严格总磷等主要污染物区域削减要求。建设项目所在水环境控制单元或断面总磷超标的，实施总磷排放量2倍或以上削减替代。所在水环境控制单元或断面总磷达标的，实施总磷排放量等量或以上削减替代。替代量应来源于项目同一水环境控制单元或断面上游拟实施关停、升级改造的工业企业，不得来源于农业源、城镇污水处理厂或已列入流域环境质量改善计划的工业企业，相应的减排措施应确保在项目投产前完成。</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 xml:space="preserve">2.企业事业单位和其他生产经营者产生、收集、贮存、运输、利用、处置固体废物的，应当采取符合技术规范的防扬散、防流失、防渗漏或者其他措施，防止污染环境。任何单位和个人不得擅自倾倒、 堆放、丢弃、遗撒固体废物。 </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禁止任何单位或者个人向江河、湖泊、渠道、水库及其最高水位线以下的滩地和岸坡以及法律、法规规定的其他地点倾倒、堆放、贮存固体废物。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6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38" w:type="pc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环境风险防控</w:t>
            </w:r>
          </w:p>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1.县级以上人民政府及其有关部门，以及可能发生水污染事件的企业事业单位和其他生产经营者应当采取有效措施依法做好突发水污染事件的风险防范、监控预警和应急处置等工作，加强突发水污染事件应急能力建设。</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2.县级以上人民政府环境保护主管部门应当建立水污染排放自动监测与异常报警管理机制，重点排污单位、工业集聚区应当建设水污染排放自动监测与异常报警设施。县级以上人民政府环境保护主管部门应当会同有关部门针对饮用水水源等重要水体，构建风险预警体系，建立可能导致突发水污染事件的风险信息收集、分析和水环境演变态势研判机制，制定风险控制对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70"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38" w:type="pct"/>
            <w:vMerge w:val="restar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资源利用效率要求</w:t>
            </w:r>
          </w:p>
        </w:tc>
        <w:tc>
          <w:tcPr>
            <w:tcW w:w="4173" w:type="pct"/>
            <w:shd w:val="clear" w:color="auto" w:fill="auto"/>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1.有下列情形之一的，禁止新建、扩建、改建地下水取水工程或者设施：</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（1）地表水能够满足用水需要的；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（2）公共供水管网覆盖范围内能够满足用水需要的；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（3）地下水开采达到或者超过年度取水计划可采总量控制的；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（4）因地下水开采引起地面沉降的；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（5）地下水水位低于规定控制水位的。</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作为应急开采的地下水，只能作为应急时使用。</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2.新建、改建、扩建工业园区应当统筹规划建设工业废水集中处理和回用设施，实现水循环梯级优化利用和废水集中处理回用，建设节水型工业园区；已建成的工业园区应当按照节水型工业园区标准，逐步改造。工业企业应当使用先进节约用水技术、工艺和设备，采取循环用水、综合利用等措施，降低用水消耗，提高水的重复利用率。工业生产的设备冷却水、空调冷却水、锅炉冷凝水等应当回收利用，直接排放的，按其工艺设计最大排放量核减其用水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51" w:hRule="atLeast"/>
        </w:trPr>
        <w:tc>
          <w:tcPr>
            <w:tcW w:w="388" w:type="pct"/>
            <w:vMerge w:val="restart"/>
            <w:tcMar>
              <w:top w:w="15" w:type="dxa"/>
              <w:left w:w="15" w:type="dxa"/>
              <w:right w:w="15" w:type="dxa"/>
            </w:tcMar>
            <w:vAlign w:val="center"/>
          </w:tcPr>
          <w:p>
            <w:pPr>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Style w:val="17"/>
                <w:rFonts w:hint="default" w:ascii="Times New Roman" w:hAnsi="Times New Roman" w:eastAsia="仿宋" w:cs="Times New Roman"/>
                <w:b w:val="0"/>
                <w:bCs w:val="0"/>
                <w:color w:val="000000" w:themeColor="text1"/>
                <w:szCs w:val="21"/>
                <w14:textFill>
                  <w14:solidFill>
                    <w14:schemeClr w14:val="tx1"/>
                  </w14:solidFill>
                </w14:textFill>
              </w:rPr>
              <w:t>黔西南州</w:t>
            </w:r>
          </w:p>
          <w:p>
            <w:pPr>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38" w:type="pct"/>
            <w:vMerge w:val="restar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布局要求</w:t>
            </w:r>
          </w:p>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173" w:type="pct"/>
            <w:shd w:val="clear" w:color="auto" w:fill="auto"/>
            <w:tcMar>
              <w:top w:w="15" w:type="dxa"/>
              <w:left w:w="15" w:type="dxa"/>
              <w:right w:w="15" w:type="dxa"/>
            </w:tcMar>
            <w:vAlign w:val="center"/>
          </w:tcPr>
          <w:p>
            <w:pPr>
              <w:keepNext w:val="0"/>
              <w:keepLines w:val="0"/>
              <w:pageBreakBefore w:val="0"/>
              <w:kinsoku/>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1.城市建成区内现有钢铁、有色金属、造纸、印染、原料药制造、化工等污染较重的企业应有序搬迁改造或依法关闭。</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2.新建冶金、电镀、有色金属、化工、印染、制革、原料药制造等企业，原则上布局在符合产业定位的园区，其排放的污水由园区污水处理厂集中处理。</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3.新建化工项目须进入合规设立的化工园区，推动环境敏感区、人口密集区危险化学品生产企业搬迁入园，实现“三废”治理由企业分散治理向园区集中治理转变。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65"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38" w:type="pc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污染物排放管控</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1.新、改、扩建涉重金属重点行业建设项目必须遵循重点重金属污染物排放“减量置换”或“等量替换”的原则。</w:t>
            </w:r>
          </w:p>
          <w:p>
            <w:pPr>
              <w:keepNext w:val="0"/>
              <w:keepLines w:val="0"/>
              <w:pageBreakBefore w:val="0"/>
              <w:kinsoku/>
              <w:overflowPunct/>
              <w:topLinePunct w:val="0"/>
              <w:autoSpaceDE/>
              <w:autoSpaceDN/>
              <w:bidi w:val="0"/>
              <w:spacing w:line="300" w:lineRule="exact"/>
              <w:ind w:firstLine="420" w:firstLineChars="200"/>
              <w:jc w:val="both"/>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2.建成区水体水质达不到地表水Ⅳ类标准的城市，新建城镇污水处理设施要执行一级A排放标准。</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3.矿产资源开发活动集中的区域，执行重点污染物特别排放限值。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6"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38" w:type="pc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环境风险防控</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1.针对存在地下水污染的化工产业为主导的工业集聚区、危险废物处置场和生活垃圾填埋场等，实施地下水污染风险管控，阻止污染扩散，加强风险管控后期环境监管。</w:t>
            </w:r>
          </w:p>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2.防止转运污染土壤非法处置。严控农药类等污染地块风险管控和修复过程中产生的异味等二次污染。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388" w:type="pct"/>
            <w:vMerge w:val="continue"/>
            <w:tcMar>
              <w:top w:w="15" w:type="dxa"/>
              <w:left w:w="15" w:type="dxa"/>
              <w:right w:w="15" w:type="dxa"/>
            </w:tcMar>
            <w:vAlign w:val="center"/>
          </w:tcPr>
          <w:p>
            <w:pPr>
              <w:jc w:val="center"/>
              <w:rPr>
                <w:rFonts w:hint="default" w:ascii="Times New Roman" w:hAnsi="Times New Roman" w:eastAsia="仿宋" w:cs="Times New Roman"/>
                <w:b w:val="0"/>
                <w:bCs w:val="0"/>
                <w:color w:val="000000" w:themeColor="text1"/>
                <w:szCs w:val="21"/>
                <w14:textFill>
                  <w14:solidFill>
                    <w14:schemeClr w14:val="tx1"/>
                  </w14:solidFill>
                </w14:textFill>
              </w:rPr>
            </w:pPr>
          </w:p>
        </w:tc>
        <w:tc>
          <w:tcPr>
            <w:tcW w:w="438" w:type="pct"/>
            <w:shd w:val="clear" w:color="auto" w:fill="auto"/>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资源利用效率要求</w:t>
            </w:r>
          </w:p>
        </w:tc>
        <w:tc>
          <w:tcPr>
            <w:tcW w:w="4173" w:type="pct"/>
            <w:shd w:val="clear" w:color="auto" w:fill="auto"/>
            <w:tcMar>
              <w:top w:w="15" w:type="dxa"/>
              <w:left w:w="15" w:type="dxa"/>
              <w:right w:w="15" w:type="dxa"/>
            </w:tcMar>
            <w:vAlign w:val="center"/>
          </w:tcPr>
          <w:p>
            <w:pPr>
              <w:keepNext w:val="0"/>
              <w:keepLines w:val="0"/>
              <w:pageBreakBefore w:val="0"/>
              <w:kinsoku/>
              <w:wordWrap w:val="0"/>
              <w:overflowPunct/>
              <w:topLinePunct w:val="0"/>
              <w:autoSpaceDE/>
              <w:autoSpaceDN/>
              <w:bidi w:val="0"/>
              <w:snapToGrid w:val="0"/>
              <w:spacing w:line="300" w:lineRule="exact"/>
              <w:ind w:firstLine="420" w:firstLineChars="200"/>
              <w:jc w:val="both"/>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在禁燃区内，禁止销售、燃用高污染燃料；禁止新建、扩建燃用高污染燃料的设施，已建成的，应当在城市人民政府规定的期限内改用天然气、页岩气、液化石油气、电或者其他清洁能源。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415" w:hRule="atLeast"/>
        </w:trPr>
        <w:tc>
          <w:tcPr>
            <w:tcW w:w="388" w:type="pct"/>
            <w:vMerge w:val="restart"/>
            <w:shd w:val="clear" w:color="auto" w:fill="auto"/>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贵</w:t>
            </w:r>
          </w:p>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安</w:t>
            </w:r>
          </w:p>
          <w:p>
            <w:pPr>
              <w:wordWrap w:val="0"/>
              <w:snapToGrid w:val="0"/>
              <w:jc w:val="center"/>
              <w:rPr>
                <w:rFonts w:hint="default" w:ascii="Times New Roman" w:hAnsi="Times New Roman" w:eastAsia="仿宋" w:cs="Times New Roman"/>
                <w:b w:val="0"/>
                <w:bCs w:val="0"/>
                <w:color w:val="000000" w:themeColor="text1"/>
                <w:szCs w:val="21"/>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新</w:t>
            </w:r>
          </w:p>
          <w:p>
            <w:pPr>
              <w:wordWrap w:val="0"/>
              <w:snapToGrid w:val="0"/>
              <w:jc w:val="center"/>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区</w:t>
            </w:r>
          </w:p>
          <w:p>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p>
          <w:p>
            <w:pPr>
              <w:wordWrap w:val="0"/>
              <w:snapToGrid w:val="0"/>
              <w:jc w:val="center"/>
              <w:rPr>
                <w:rFonts w:hint="default" w:ascii="Times New Roman" w:hAnsi="Times New Roman" w:eastAsia="仿宋" w:cs="Times New Roman"/>
                <w:b w:val="0"/>
                <w:bCs w:val="0"/>
                <w:color w:val="000000" w:themeColor="text1"/>
                <w:sz w:val="21"/>
                <w:szCs w:val="21"/>
                <w:lang w:val="en-US" w:eastAsia="zh-CN"/>
                <w14:textFill>
                  <w14:solidFill>
                    <w14:schemeClr w14:val="tx1"/>
                  </w14:solidFill>
                </w14:textFill>
              </w:rPr>
            </w:pPr>
          </w:p>
          <w:p>
            <w:pPr>
              <w:wordWrap w:val="0"/>
              <w:snapToGrid w:val="0"/>
              <w:jc w:val="center"/>
              <w:rPr>
                <w:rFonts w:hint="default" w:ascii="Times New Roman" w:hAnsi="Times New Roman" w:eastAsia="仿宋" w:cs="Times New Roman"/>
                <w:b w:val="0"/>
                <w:bCs w:val="0"/>
                <w:color w:val="000000" w:themeColor="text1"/>
                <w:sz w:val="21"/>
                <w:szCs w:val="21"/>
                <w:lang w:val="en-US" w:eastAsia="zh-CN"/>
                <w14:textFill>
                  <w14:solidFill>
                    <w14:schemeClr w14:val="tx1"/>
                  </w14:solidFill>
                </w14:textFill>
              </w:rPr>
            </w:pPr>
          </w:p>
        </w:tc>
        <w:tc>
          <w:tcPr>
            <w:tcW w:w="438" w:type="pct"/>
            <w:vMerge w:val="restart"/>
            <w:shd w:val="clear" w:color="auto" w:fill="auto"/>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布局要求</w:t>
            </w:r>
          </w:p>
          <w:p>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p>
        </w:tc>
        <w:tc>
          <w:tcPr>
            <w:tcW w:w="4173" w:type="pct"/>
            <w:shd w:val="clear" w:color="auto" w:fill="auto"/>
            <w:noWrap w:val="0"/>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1.禁止在城市规划区内新建改建扩建水泥、煤化工、燃煤火电、焦化、金属冶炼、陶瓷等大气污染严重的产业项目。</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禁止引进严重污染大气环境的落后生产工艺、落后设备。</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仿宋" w:cs="Times New Roman"/>
                <w:b w:val="0"/>
                <w:bCs w:val="0"/>
                <w:kern w:val="0"/>
                <w:szCs w:val="21"/>
                <w:lang w:bidi="ar"/>
              </w:rPr>
              <w:t>2.县级以上人民政府应当推动生态产业园区建设，鼓励和引导现有工业企业入驻产业园区。新建排放主要大气污染物的工业项目应当按照有关规定进入相应的产业园区。</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default" w:ascii="Times New Roman" w:hAnsi="Times New Roman" w:eastAsia="仿宋" w:cs="Times New Roman"/>
                <w:b w:val="0"/>
                <w:bCs w:val="0"/>
                <w:kern w:val="0"/>
                <w:szCs w:val="21"/>
                <w:lang w:bidi="ar"/>
              </w:rPr>
              <w:t>3.在两湖饮用水水源准保护区禁止下列行为</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（1）</w:t>
            </w:r>
            <w:r>
              <w:rPr>
                <w:rFonts w:hint="default" w:ascii="Times New Roman" w:hAnsi="Times New Roman" w:eastAsia="仿宋" w:cs="Times New Roman"/>
                <w:b w:val="0"/>
                <w:bCs w:val="0"/>
                <w:kern w:val="0"/>
                <w:szCs w:val="21"/>
                <w:lang w:bidi="ar"/>
              </w:rPr>
              <w:t>新建、扩建对水体污染严重的建设项目</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（2）</w:t>
            </w:r>
            <w:r>
              <w:rPr>
                <w:rFonts w:hint="default" w:ascii="Times New Roman" w:hAnsi="Times New Roman" w:eastAsia="仿宋" w:cs="Times New Roman"/>
                <w:b w:val="0"/>
                <w:bCs w:val="0"/>
                <w:kern w:val="0"/>
                <w:szCs w:val="21"/>
                <w:lang w:bidi="ar"/>
              </w:rPr>
              <w:t>改建增加排污量的建设项目</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（3）</w:t>
            </w:r>
            <w:r>
              <w:rPr>
                <w:rFonts w:hint="default" w:ascii="Times New Roman" w:hAnsi="Times New Roman" w:eastAsia="仿宋" w:cs="Times New Roman"/>
                <w:b w:val="0"/>
                <w:bCs w:val="0"/>
                <w:kern w:val="0"/>
                <w:szCs w:val="21"/>
                <w:lang w:bidi="ar"/>
              </w:rPr>
              <w:t>破坏水源涵养林、护岸林及与水源保护相关植被的活动</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（4）</w:t>
            </w:r>
            <w:r>
              <w:rPr>
                <w:rFonts w:hint="default" w:ascii="Times New Roman" w:hAnsi="Times New Roman" w:eastAsia="仿宋" w:cs="Times New Roman"/>
                <w:b w:val="0"/>
                <w:bCs w:val="0"/>
                <w:kern w:val="0"/>
                <w:szCs w:val="21"/>
                <w:lang w:bidi="ar"/>
              </w:rPr>
              <w:t>向水体排放、倾倒油渍、酸液、碱液和其他有毒有害液体</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（5）</w:t>
            </w:r>
            <w:r>
              <w:rPr>
                <w:rFonts w:hint="default" w:ascii="Times New Roman" w:hAnsi="Times New Roman" w:eastAsia="仿宋" w:cs="Times New Roman"/>
                <w:b w:val="0"/>
                <w:bCs w:val="0"/>
                <w:kern w:val="0"/>
                <w:szCs w:val="21"/>
                <w:lang w:bidi="ar"/>
              </w:rPr>
              <w:t>在水体中清洗装储过油渍或者有毒有害污染物的车辆和容器</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（6）</w:t>
            </w:r>
            <w:r>
              <w:rPr>
                <w:rFonts w:hint="default" w:ascii="Times New Roman" w:hAnsi="Times New Roman" w:eastAsia="仿宋" w:cs="Times New Roman"/>
                <w:b w:val="0"/>
                <w:bCs w:val="0"/>
                <w:kern w:val="0"/>
                <w:szCs w:val="21"/>
                <w:lang w:bidi="ar"/>
              </w:rPr>
              <w:t>向水体排放、倾倒工业固体废物和城市生活垃圾、污水及其他废弃物</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（7）</w:t>
            </w:r>
            <w:r>
              <w:rPr>
                <w:rFonts w:hint="default" w:ascii="Times New Roman" w:hAnsi="Times New Roman" w:eastAsia="仿宋" w:cs="Times New Roman"/>
                <w:b w:val="0"/>
                <w:bCs w:val="0"/>
                <w:kern w:val="0"/>
                <w:szCs w:val="21"/>
                <w:lang w:bidi="ar"/>
              </w:rPr>
              <w:t>使用农药，丢弃农药、农药包装物或者清洗施药器械</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（8）</w:t>
            </w:r>
            <w:r>
              <w:rPr>
                <w:rFonts w:hint="default" w:ascii="Times New Roman" w:hAnsi="Times New Roman" w:eastAsia="仿宋" w:cs="Times New Roman"/>
                <w:b w:val="0"/>
                <w:bCs w:val="0"/>
                <w:kern w:val="0"/>
                <w:szCs w:val="21"/>
                <w:lang w:bidi="ar"/>
              </w:rPr>
              <w:t>炸鱼、电鱼、毒鱼，用非法渔具捕鱼</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（9）</w:t>
            </w:r>
            <w:r>
              <w:rPr>
                <w:rFonts w:hint="default" w:ascii="Times New Roman" w:hAnsi="Times New Roman" w:eastAsia="仿宋" w:cs="Times New Roman"/>
                <w:b w:val="0"/>
                <w:bCs w:val="0"/>
                <w:kern w:val="0"/>
                <w:szCs w:val="21"/>
                <w:lang w:bidi="ar"/>
              </w:rPr>
              <w:t>采矿</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（10）</w:t>
            </w:r>
            <w:r>
              <w:rPr>
                <w:rFonts w:hint="default" w:ascii="Times New Roman" w:hAnsi="Times New Roman" w:eastAsia="仿宋" w:cs="Times New Roman"/>
                <w:b w:val="0"/>
                <w:bCs w:val="0"/>
                <w:kern w:val="0"/>
                <w:szCs w:val="21"/>
                <w:lang w:bidi="ar"/>
              </w:rPr>
              <w:t>生产、销售、使用含磷洗涤剂</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（11）</w:t>
            </w:r>
            <w:r>
              <w:rPr>
                <w:rFonts w:hint="default" w:ascii="Times New Roman" w:hAnsi="Times New Roman" w:eastAsia="仿宋" w:cs="Times New Roman"/>
                <w:b w:val="0"/>
                <w:bCs w:val="0"/>
                <w:kern w:val="0"/>
                <w:szCs w:val="21"/>
                <w:lang w:bidi="ar"/>
              </w:rPr>
              <w:t>在两湖水域内网箱养殖、围栏养殖、投饵养殖、施肥养殖，使用违禁渔药</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（12）</w:t>
            </w:r>
            <w:r>
              <w:rPr>
                <w:rFonts w:hint="default" w:ascii="Times New Roman" w:hAnsi="Times New Roman" w:eastAsia="仿宋" w:cs="Times New Roman"/>
                <w:b w:val="0"/>
                <w:bCs w:val="0"/>
                <w:kern w:val="0"/>
                <w:szCs w:val="21"/>
                <w:lang w:bidi="ar"/>
              </w:rPr>
              <w:t>使用未采取有效防污措施的船舶</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w:t>
            </w:r>
            <w:r>
              <w:rPr>
                <w:rFonts w:hint="eastAsia" w:ascii="Times New Roman" w:hAnsi="Times New Roman" w:eastAsia="仿宋" w:cs="Times New Roman"/>
                <w:b w:val="0"/>
                <w:bCs w:val="0"/>
                <w:kern w:val="0"/>
                <w:szCs w:val="21"/>
                <w:lang w:val="en-US" w:eastAsia="zh-CN" w:bidi="ar"/>
              </w:rPr>
              <w:t>13</w:t>
            </w:r>
            <w:r>
              <w:rPr>
                <w:rFonts w:hint="eastAsia" w:ascii="Times New Roman" w:hAnsi="Times New Roman" w:eastAsia="仿宋" w:cs="Times New Roman"/>
                <w:b w:val="0"/>
                <w:bCs w:val="0"/>
                <w:kern w:val="0"/>
                <w:szCs w:val="21"/>
                <w:lang w:eastAsia="zh-CN" w:bidi="ar"/>
              </w:rPr>
              <w:t>）</w:t>
            </w:r>
            <w:r>
              <w:rPr>
                <w:rFonts w:hint="default" w:ascii="Times New Roman" w:hAnsi="Times New Roman" w:eastAsia="仿宋" w:cs="Times New Roman"/>
                <w:b w:val="0"/>
                <w:bCs w:val="0"/>
                <w:kern w:val="0"/>
                <w:szCs w:val="21"/>
                <w:lang w:bidi="ar"/>
              </w:rPr>
              <w:t>其他破坏水资源环境的行为。</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4.在饮用水水源保护区的二级保护区除执行《贵州省红枫湖百花湖水资源环境保护条例》第十条规定外，还禁止下列行为：</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（1）</w:t>
            </w:r>
            <w:r>
              <w:rPr>
                <w:rFonts w:hint="default" w:ascii="Times New Roman" w:hAnsi="Times New Roman" w:eastAsia="仿宋" w:cs="Times New Roman"/>
                <w:b w:val="0"/>
                <w:bCs w:val="0"/>
                <w:kern w:val="0"/>
                <w:szCs w:val="21"/>
                <w:lang w:bidi="ar"/>
              </w:rPr>
              <w:t>设置排污口</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（2）</w:t>
            </w:r>
            <w:r>
              <w:rPr>
                <w:rFonts w:hint="default" w:ascii="Times New Roman" w:hAnsi="Times New Roman" w:eastAsia="仿宋" w:cs="Times New Roman"/>
                <w:b w:val="0"/>
                <w:bCs w:val="0"/>
                <w:kern w:val="0"/>
                <w:szCs w:val="21"/>
                <w:lang w:bidi="ar"/>
              </w:rPr>
              <w:t>新建、改建、扩建有污染的建设项目</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（3）</w:t>
            </w:r>
            <w:r>
              <w:rPr>
                <w:rFonts w:hint="default" w:ascii="Times New Roman" w:hAnsi="Times New Roman" w:eastAsia="仿宋" w:cs="Times New Roman"/>
                <w:b w:val="0"/>
                <w:bCs w:val="0"/>
                <w:kern w:val="0"/>
                <w:szCs w:val="21"/>
                <w:lang w:bidi="ar"/>
              </w:rPr>
              <w:t>设置装卸垃圾、粪便、油渍和有毒物品的码头</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（4）</w:t>
            </w:r>
            <w:r>
              <w:rPr>
                <w:rFonts w:hint="default" w:ascii="Times New Roman" w:hAnsi="Times New Roman" w:eastAsia="仿宋" w:cs="Times New Roman"/>
                <w:b w:val="0"/>
                <w:bCs w:val="0"/>
                <w:kern w:val="0"/>
                <w:szCs w:val="21"/>
                <w:lang w:bidi="ar"/>
              </w:rPr>
              <w:t>堆置、存放、填埋工业固体废物、城市垃圾、粪便和其他废弃物</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（5）</w:t>
            </w:r>
            <w:r>
              <w:rPr>
                <w:rFonts w:hint="default" w:ascii="Times New Roman" w:hAnsi="Times New Roman" w:eastAsia="仿宋" w:cs="Times New Roman"/>
                <w:b w:val="0"/>
                <w:bCs w:val="0"/>
                <w:kern w:val="0"/>
                <w:szCs w:val="21"/>
                <w:lang w:bidi="ar"/>
              </w:rPr>
              <w:t>葬坟、掩埋动物尸体</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（6）</w:t>
            </w:r>
            <w:r>
              <w:rPr>
                <w:rFonts w:hint="default" w:ascii="Times New Roman" w:hAnsi="Times New Roman" w:eastAsia="仿宋" w:cs="Times New Roman"/>
                <w:b w:val="0"/>
                <w:bCs w:val="0"/>
                <w:kern w:val="0"/>
                <w:szCs w:val="21"/>
                <w:lang w:bidi="ar"/>
              </w:rPr>
              <w:t>设置油库</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（7）</w:t>
            </w:r>
            <w:r>
              <w:rPr>
                <w:rFonts w:hint="default" w:ascii="Times New Roman" w:hAnsi="Times New Roman" w:eastAsia="仿宋" w:cs="Times New Roman"/>
                <w:b w:val="0"/>
                <w:bCs w:val="0"/>
                <w:kern w:val="0"/>
                <w:szCs w:val="21"/>
                <w:lang w:bidi="ar"/>
              </w:rPr>
              <w:t>经营外排废水、污水的餐饮、住宿</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（8）</w:t>
            </w:r>
            <w:r>
              <w:rPr>
                <w:rFonts w:hint="default" w:ascii="Times New Roman" w:hAnsi="Times New Roman" w:eastAsia="仿宋" w:cs="Times New Roman"/>
                <w:b w:val="0"/>
                <w:bCs w:val="0"/>
                <w:kern w:val="0"/>
                <w:szCs w:val="21"/>
                <w:lang w:bidi="ar"/>
              </w:rPr>
              <w:t>建设畜禽养殖场、养殖小区</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eastAsia" w:ascii="Times New Roman" w:hAnsi="Times New Roman" w:eastAsia="仿宋" w:cs="Times New Roman"/>
                <w:b w:val="0"/>
                <w:bCs w:val="0"/>
                <w:kern w:val="0"/>
                <w:szCs w:val="21"/>
                <w:lang w:eastAsia="zh-CN" w:bidi="ar"/>
              </w:rPr>
              <w:t>（9）</w:t>
            </w:r>
            <w:r>
              <w:rPr>
                <w:rFonts w:hint="default" w:ascii="Times New Roman" w:hAnsi="Times New Roman" w:eastAsia="仿宋" w:cs="Times New Roman"/>
                <w:b w:val="0"/>
                <w:bCs w:val="0"/>
                <w:kern w:val="0"/>
                <w:szCs w:val="21"/>
                <w:lang w:bidi="ar"/>
              </w:rPr>
              <w:t>建设产生污染的建筑物、构筑物。</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bidi="ar"/>
              </w:rPr>
            </w:pPr>
            <w:r>
              <w:rPr>
                <w:rFonts w:hint="default" w:ascii="Times New Roman" w:hAnsi="Times New Roman" w:eastAsia="仿宋" w:cs="Times New Roman"/>
                <w:b w:val="0"/>
                <w:bCs w:val="0"/>
                <w:kern w:val="0"/>
                <w:szCs w:val="21"/>
                <w:lang w:bidi="ar"/>
              </w:rPr>
              <w:t>5.在饮用水水源保护区的一级保护区除执行《贵州省红枫湖百花湖水资源环境保护条例》第十条、第十一条规定外，还禁止下列行为：</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（1）</w:t>
            </w:r>
            <w:r>
              <w:rPr>
                <w:rFonts w:hint="default" w:ascii="Times New Roman" w:hAnsi="Times New Roman" w:eastAsia="仿宋" w:cs="Times New Roman"/>
                <w:b w:val="0"/>
                <w:bCs w:val="0"/>
                <w:kern w:val="0"/>
                <w:szCs w:val="21"/>
                <w:lang w:bidi="ar"/>
              </w:rPr>
              <w:t>新建、扩建、改建与供水设施和保护水源无关的建设项目</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kern w:val="0"/>
                <w:szCs w:val="21"/>
                <w:lang w:eastAsia="zh-CN" w:bidi="ar"/>
              </w:rPr>
            </w:pPr>
            <w:r>
              <w:rPr>
                <w:rFonts w:hint="eastAsia" w:ascii="Times New Roman" w:hAnsi="Times New Roman" w:eastAsia="仿宋" w:cs="Times New Roman"/>
                <w:b w:val="0"/>
                <w:bCs w:val="0"/>
                <w:kern w:val="0"/>
                <w:szCs w:val="21"/>
                <w:lang w:eastAsia="zh-CN" w:bidi="ar"/>
              </w:rPr>
              <w:t>（2）</w:t>
            </w:r>
            <w:r>
              <w:rPr>
                <w:rFonts w:hint="default" w:ascii="Times New Roman" w:hAnsi="Times New Roman" w:eastAsia="仿宋" w:cs="Times New Roman"/>
                <w:b w:val="0"/>
                <w:bCs w:val="0"/>
                <w:kern w:val="0"/>
                <w:szCs w:val="21"/>
                <w:lang w:bidi="ar"/>
              </w:rPr>
              <w:t>设置与供水需要无关的码头和停靠船舶</w:t>
            </w:r>
            <w:r>
              <w:rPr>
                <w:rFonts w:hint="default" w:ascii="Times New Roman" w:hAnsi="Times New Roman" w:eastAsia="仿宋" w:cs="Times New Roman"/>
                <w:b w:val="0"/>
                <w:bCs w:val="0"/>
                <w:kern w:val="0"/>
                <w:szCs w:val="21"/>
                <w:lang w:eastAsia="zh-CN" w:bidi="ar"/>
              </w:rPr>
              <w:t>；</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仿宋" w:cs="Times New Roman"/>
                <w:b w:val="0"/>
                <w:bCs w:val="0"/>
                <w:kern w:val="0"/>
                <w:szCs w:val="21"/>
                <w:lang w:eastAsia="zh-CN" w:bidi="ar"/>
              </w:rPr>
              <w:t>（3）</w:t>
            </w:r>
            <w:r>
              <w:rPr>
                <w:rFonts w:hint="default" w:ascii="Times New Roman" w:hAnsi="Times New Roman" w:eastAsia="仿宋" w:cs="Times New Roman"/>
                <w:b w:val="0"/>
                <w:bCs w:val="0"/>
                <w:kern w:val="0"/>
                <w:szCs w:val="21"/>
                <w:lang w:bidi="ar"/>
              </w:rPr>
              <w:t>从事旅游、垂钓、捕捞、游泳、水上运动和其他污染水体的活动。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10" w:hRule="atLeast"/>
        </w:trPr>
        <w:tc>
          <w:tcPr>
            <w:tcW w:w="388" w:type="pct"/>
            <w:vMerge w:val="continue"/>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 w:val="21"/>
                <w:szCs w:val="21"/>
                <w:lang w:val="en-US" w:eastAsia="zh-CN"/>
                <w14:textFill>
                  <w14:solidFill>
                    <w14:schemeClr w14:val="tx1"/>
                  </w14:solidFill>
                </w14:textFill>
              </w:rPr>
            </w:pPr>
          </w:p>
        </w:tc>
        <w:tc>
          <w:tcPr>
            <w:tcW w:w="438" w:type="pct"/>
            <w:shd w:val="clear" w:color="auto" w:fill="auto"/>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污染物排放管控</w:t>
            </w:r>
          </w:p>
          <w:p>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rFonts w:hint="default" w:ascii="Times New Roman" w:hAnsi="Times New Roman" w:eastAsia="仿宋" w:cs="Times New Roman"/>
                <w:b w:val="0"/>
                <w:bCs w:val="0"/>
                <w:color w:val="000000" w:themeColor="text1"/>
                <w:kern w:val="2"/>
                <w:sz w:val="21"/>
                <w:szCs w:val="21"/>
                <w:highlight w:val="none"/>
                <w:lang w:val="en-US" w:eastAsia="zh-CN" w:bidi="ar-SA"/>
                <w14:textFill>
                  <w14:solidFill>
                    <w14:schemeClr w14:val="tx1"/>
                  </w14:solidFill>
                </w14:textFill>
              </w:rPr>
            </w:pPr>
          </w:p>
        </w:tc>
        <w:tc>
          <w:tcPr>
            <w:tcW w:w="4173" w:type="pct"/>
            <w:shd w:val="clear" w:color="auto" w:fill="auto"/>
            <w:noWrap w:val="0"/>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1.新建排放重点水污染物的工业项目应当进入开发区、工业园区等工业集聚区。鼓励和引导现有工业项目入驻工业集聚区。工业集聚区应当统筹规划、建设污水集中处理设施，并安装自动监测设施，与环境保护主管部门的污染源自动监控系统联网，实行工业污水集中处理。排污单位对污水进行预处理后向污水集中处理设施排放的，应当符合集中处理设施的接纳标准。</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工业集聚区未按照规划建设污水集中处理设施或者污水集中处理设施排放不达标的，环境保护主管部门应当暂停审批该工业集聚区新增重点水污染物排放总量的建设项目的环境影响评价文件。</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 xml:space="preserve">2.企业事业单位和其他生产经营者产生、收集、贮存、运输、利用、处置固体废物的，应当采取符合技术规范的防扬散、防流失、防渗漏或者其他措施，防止污染环境。任何单位和个人不得擅自倾倒、堆放、丢弃、遗撒固体废物。 </w:t>
            </w:r>
          </w:p>
          <w:p>
            <w:pPr>
              <w:keepNext w:val="0"/>
              <w:keepLines w:val="0"/>
              <w:pageBreakBefore w:val="0"/>
              <w:widowControl/>
              <w:kinsoku/>
              <w:wordWrap/>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禁止任何单位或者个人向江河、湖泊、渠道、水库及其最高水位线以下的滩地和岸坡以及法律、法规规定的其他地点倾倒、堆放、贮存固体废物。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22" w:hRule="atLeast"/>
        </w:trPr>
        <w:tc>
          <w:tcPr>
            <w:tcW w:w="388" w:type="pct"/>
            <w:vMerge w:val="continue"/>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 w:val="21"/>
                <w:szCs w:val="21"/>
                <w:lang w:val="en-US" w:eastAsia="zh-CN"/>
                <w14:textFill>
                  <w14:solidFill>
                    <w14:schemeClr w14:val="tx1"/>
                  </w14:solidFill>
                </w14:textFill>
              </w:rPr>
            </w:pPr>
          </w:p>
        </w:tc>
        <w:tc>
          <w:tcPr>
            <w:tcW w:w="438" w:type="pct"/>
            <w:shd w:val="clear" w:color="auto" w:fill="auto"/>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环境风险防控</w:t>
            </w:r>
          </w:p>
        </w:tc>
        <w:tc>
          <w:tcPr>
            <w:tcW w:w="4173" w:type="pct"/>
            <w:shd w:val="clear" w:color="auto" w:fill="auto"/>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300" w:lineRule="exact"/>
              <w:ind w:left="0" w:leftChars="0" w:firstLine="420" w:firstLineChars="200"/>
              <w:jc w:val="both"/>
              <w:textAlignment w:val="center"/>
              <w:rPr>
                <w:rFonts w:hint="default" w:ascii="Times New Roman" w:hAnsi="Times New Roman" w:eastAsia="仿宋"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1.把生态风险防控纳入常态化监管范畴，重点加强生态破坏、生物安全、气象灾害和气候变化等引发的生态风险防范与预警，推动构建多领域、全过程的生态风险防范体系，提升生态风险防控与预警能力。</w:t>
            </w:r>
          </w:p>
          <w:p>
            <w:pPr>
              <w:keepNext w:val="0"/>
              <w:keepLines w:val="0"/>
              <w:pageBreakBefore w:val="0"/>
              <w:widowControl/>
              <w:suppressLineNumbers w:val="0"/>
              <w:kinsoku/>
              <w:wordWrap/>
              <w:overflowPunct/>
              <w:topLinePunct w:val="0"/>
              <w:autoSpaceDE/>
              <w:autoSpaceDN/>
              <w:bidi w:val="0"/>
              <w:adjustRightInd w:val="0"/>
              <w:snapToGrid w:val="0"/>
              <w:spacing w:line="300" w:lineRule="exact"/>
              <w:ind w:left="0" w:leftChars="0" w:firstLine="420" w:firstLineChars="200"/>
              <w:jc w:val="both"/>
              <w:textAlignment w:val="center"/>
              <w:rPr>
                <w:rFonts w:hint="default" w:ascii="Times New Roman" w:hAnsi="Times New Roman" w:eastAsia="仿宋"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加强生态破坏风险防控与预警。严格落实环境影响评价制度针对生态保护红线和自然保护地，以及生态环境敏感区域的开发建设项目，推动实施主体进行充分论证和生态影响评估，杜绝各类违反法律法规、“三线一单”生态环境分区管控和国土空间管控要求的开发建设项目。加强生态保护监管重点区域以及因人类活动导致土地利用频繁变化区域的生态破坏风险防控与预警，降低开发建设可能造成的生态破坏风险，加强重大生态破坏事件的防控。加强噪声、光污染等可能威胁生态系统和物种安全的生态风险防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20" w:hRule="atLeast"/>
        </w:trPr>
        <w:tc>
          <w:tcPr>
            <w:tcW w:w="388" w:type="pct"/>
            <w:vMerge w:val="continue"/>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sz w:val="21"/>
                <w:szCs w:val="21"/>
                <w:lang w:val="en-US" w:eastAsia="zh-CN"/>
                <w14:textFill>
                  <w14:solidFill>
                    <w14:schemeClr w14:val="tx1"/>
                  </w14:solidFill>
                </w14:textFill>
              </w:rPr>
            </w:pPr>
          </w:p>
        </w:tc>
        <w:tc>
          <w:tcPr>
            <w:tcW w:w="438" w:type="pct"/>
            <w:shd w:val="clear" w:color="auto" w:fill="auto"/>
            <w:noWrap w:val="0"/>
            <w:tcMar>
              <w:top w:w="15" w:type="dxa"/>
              <w:left w:w="15" w:type="dxa"/>
              <w:right w:w="15" w:type="dxa"/>
            </w:tcMar>
            <w:vAlign w:val="center"/>
          </w:tcPr>
          <w:p>
            <w:pPr>
              <w:wordWrap w:val="0"/>
              <w:snapToGrid w:val="0"/>
              <w:jc w:val="center"/>
              <w:rPr>
                <w:rFonts w:hint="default" w:ascii="Times New Roman" w:hAnsi="Times New Roman" w:eastAsia="仿宋"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szCs w:val="21"/>
                <w14:textFill>
                  <w14:solidFill>
                    <w14:schemeClr w14:val="tx1"/>
                  </w14:solidFill>
                </w14:textFill>
              </w:rPr>
              <w:t>资源利用效率要求</w:t>
            </w:r>
          </w:p>
        </w:tc>
        <w:tc>
          <w:tcPr>
            <w:tcW w:w="4173" w:type="pct"/>
            <w:shd w:val="clear" w:color="auto" w:fill="auto"/>
            <w:noWrap w:val="0"/>
            <w:tcMar>
              <w:top w:w="15" w:type="dxa"/>
              <w:left w:w="15" w:type="dxa"/>
              <w:right w:w="15" w:type="dxa"/>
            </w:tcMar>
            <w:vAlign w:val="center"/>
          </w:tcPr>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t>1.</w:t>
            </w:r>
            <w:r>
              <w:rPr>
                <w:rFonts w:hint="default" w:ascii="Times New Roman" w:hAnsi="Times New Roman" w:eastAsia="仿宋" w:cs="Times New Roman"/>
                <w:b w:val="0"/>
                <w:bCs w:val="0"/>
                <w:color w:val="000000" w:themeColor="text1"/>
                <w:kern w:val="0"/>
                <w:szCs w:val="21"/>
                <w:highlight w:val="none"/>
                <w:lang w:val="en-US" w:eastAsia="zh-CN" w:bidi="ar"/>
                <w14:textFill>
                  <w14:solidFill>
                    <w14:schemeClr w14:val="tx1"/>
                  </w14:solidFill>
                </w14:textFill>
              </w:rPr>
              <w:t>有下列情形之一的，</w:t>
            </w:r>
            <w: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t>禁止新建、扩建、改建地下水取水工程或者设施：</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t>（1）地表水能够满足用水需要的；</w:t>
            </w:r>
          </w:p>
          <w:p>
            <w:pPr>
              <w:keepNext w:val="0"/>
              <w:keepLines w:val="0"/>
              <w:pageBreakBefore w:val="0"/>
              <w:widowControl/>
              <w:kinsoku/>
              <w:wordWrap/>
              <w:overflowPunct/>
              <w:topLinePunct w:val="0"/>
              <w:autoSpaceDE/>
              <w:autoSpaceDN/>
              <w:bidi w:val="0"/>
              <w:adjustRightInd w:val="0"/>
              <w:snapToGrid w:val="0"/>
              <w:spacing w:line="300" w:lineRule="exact"/>
              <w:ind w:left="420" w:leftChars="200" w:firstLine="0" w:firstLineChars="0"/>
              <w:jc w:val="both"/>
              <w:textAlignment w:val="cente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t>（2）公共供水管网覆盖范围内能够满足用水需要的；</w:t>
            </w:r>
          </w:p>
          <w:p>
            <w:pPr>
              <w:keepNext w:val="0"/>
              <w:keepLines w:val="0"/>
              <w:pageBreakBefore w:val="0"/>
              <w:widowControl/>
              <w:kinsoku/>
              <w:wordWrap/>
              <w:overflowPunct/>
              <w:topLinePunct w:val="0"/>
              <w:autoSpaceDE/>
              <w:autoSpaceDN/>
              <w:bidi w:val="0"/>
              <w:adjustRightInd w:val="0"/>
              <w:snapToGrid w:val="0"/>
              <w:spacing w:line="300" w:lineRule="exact"/>
              <w:ind w:left="420" w:leftChars="200" w:firstLine="0" w:firstLineChars="0"/>
              <w:jc w:val="both"/>
              <w:textAlignment w:val="cente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t>（3）地下水开采达到或者超过年度取水计划可采总量控制的；</w:t>
            </w:r>
          </w:p>
          <w:p>
            <w:pPr>
              <w:keepNext w:val="0"/>
              <w:keepLines w:val="0"/>
              <w:pageBreakBefore w:val="0"/>
              <w:widowControl/>
              <w:kinsoku/>
              <w:wordWrap/>
              <w:overflowPunct/>
              <w:topLinePunct w:val="0"/>
              <w:autoSpaceDE/>
              <w:autoSpaceDN/>
              <w:bidi w:val="0"/>
              <w:adjustRightInd w:val="0"/>
              <w:snapToGrid w:val="0"/>
              <w:spacing w:line="300" w:lineRule="exact"/>
              <w:ind w:left="420" w:leftChars="200" w:firstLine="0" w:firstLineChars="0"/>
              <w:jc w:val="both"/>
              <w:textAlignment w:val="cente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t>（4）因地下水开采引起地面沉降的；</w:t>
            </w:r>
          </w:p>
          <w:p>
            <w:pPr>
              <w:keepNext w:val="0"/>
              <w:keepLines w:val="0"/>
              <w:pageBreakBefore w:val="0"/>
              <w:widowControl/>
              <w:kinsoku/>
              <w:wordWrap/>
              <w:overflowPunct/>
              <w:topLinePunct w:val="0"/>
              <w:autoSpaceDE/>
              <w:autoSpaceDN/>
              <w:bidi w:val="0"/>
              <w:adjustRightInd w:val="0"/>
              <w:snapToGrid w:val="0"/>
              <w:spacing w:line="300" w:lineRule="exact"/>
              <w:ind w:left="420" w:leftChars="200" w:firstLine="0" w:firstLineChars="0"/>
              <w:jc w:val="both"/>
              <w:textAlignment w:val="cente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t>（5）地下水水位低于规定控制水位的。</w:t>
            </w:r>
          </w:p>
          <w:p>
            <w:pPr>
              <w:keepNext w:val="0"/>
              <w:keepLines w:val="0"/>
              <w:pageBreakBefore w:val="0"/>
              <w:widowControl/>
              <w:kinsoku/>
              <w:wordWrap/>
              <w:overflowPunct/>
              <w:topLinePunct w:val="0"/>
              <w:autoSpaceDE/>
              <w:autoSpaceDN/>
              <w:bidi w:val="0"/>
              <w:adjustRightInd w:val="0"/>
              <w:snapToGrid w:val="0"/>
              <w:spacing w:line="300" w:lineRule="exact"/>
              <w:ind w:left="420" w:leftChars="200" w:firstLine="0" w:firstLineChars="0"/>
              <w:jc w:val="both"/>
              <w:textAlignment w:val="cente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highlight w:val="none"/>
                <w:lang w:bidi="ar"/>
                <w14:textFill>
                  <w14:solidFill>
                    <w14:schemeClr w14:val="tx1"/>
                  </w14:solidFill>
                </w14:textFill>
              </w:rPr>
              <w:t>作为应急开采的地下水，只能作为应急时使用。</w:t>
            </w:r>
          </w:p>
          <w:p>
            <w:pPr>
              <w:keepNext w:val="0"/>
              <w:keepLines w:val="0"/>
              <w:pageBreakBefore w:val="0"/>
              <w:widowControl/>
              <w:kinsoku/>
              <w:overflowPunct/>
              <w:topLinePunct w:val="0"/>
              <w:autoSpaceDE/>
              <w:autoSpaceDN/>
              <w:bidi w:val="0"/>
              <w:adjustRightInd w:val="0"/>
              <w:snapToGrid w:val="0"/>
              <w:spacing w:line="300" w:lineRule="exact"/>
              <w:ind w:firstLine="420" w:firstLineChars="200"/>
              <w:jc w:val="both"/>
              <w:textAlignment w:val="center"/>
              <w:rPr>
                <w:rFonts w:hint="default" w:ascii="Times New Roman" w:hAnsi="Times New Roman" w:eastAsia="仿宋"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仿宋" w:cs="Times New Roman"/>
                <w:b w:val="0"/>
                <w:bCs w:val="0"/>
                <w:color w:val="000000" w:themeColor="text1"/>
                <w:kern w:val="0"/>
                <w:szCs w:val="21"/>
                <w:lang w:bidi="ar"/>
                <w14:textFill>
                  <w14:solidFill>
                    <w14:schemeClr w14:val="tx1"/>
                  </w14:solidFill>
                </w14:textFill>
              </w:rPr>
              <w:t>2.新建、改建、扩建工业园区应当统筹规划建设工业废水集中处理和回用设施，实现水循环梯级优化利用和废水集中处理回用，建设节水型工业园区；已建成的工业园区应当按照节水型工业园区标准，逐步改造。工业企业应当使用先进节约用水技术、工艺和设备，采取循环用水、综合利用等措施，降低用水消耗，提高水的重复利用率。工业生产的设备冷却水、空调冷却水、锅炉冷凝水等应当回收利用，直接排放的，按其工艺设计最大排放量核减其用水指标。</w:t>
            </w:r>
          </w:p>
        </w:tc>
      </w:tr>
    </w:tbl>
    <w:p>
      <w:pPr>
        <w:rPr>
          <w:rFonts w:hint="eastAsia" w:ascii="Times New Roman" w:hAnsi="Times New Roman" w:cs="Times New Roman"/>
          <w:b w:val="0"/>
          <w:bCs w:val="0"/>
          <w:lang w:eastAsia="zh-CN"/>
        </w:rPr>
      </w:pPr>
    </w:p>
    <w:sectPr>
      <w:pgSz w:w="11906" w:h="16838"/>
      <w:pgMar w:top="1440" w:right="1800" w:bottom="1440" w:left="1800"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roman"/>
    <w:pitch w:val="default"/>
    <w:sig w:usb0="E0002EFF" w:usb1="C000785B" w:usb2="00000009" w:usb3="00000000" w:csb0="400001FF" w:csb1="FFFF0000"/>
  </w:font>
  <w:font w:name="宋体">
    <w:panose1 w:val="02010600030101010101"/>
    <w:charset w:val="7A"/>
    <w:family w:val="auto"/>
    <w:pitch w:val="default"/>
    <w:sig w:usb0="00000003" w:usb1="080E0000" w:usb2="00000000"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Calibri Light">
    <w:altName w:val="DejaVu Sans"/>
    <w:panose1 w:val="020F0302020204030204"/>
    <w:charset w:val="00"/>
    <w:family w:val="swiss"/>
    <w:pitch w:val="default"/>
    <w:sig w:usb0="00000000" w:usb1="00000000" w:usb2="00000000" w:usb3="00000000" w:csb0="2000019F" w:csb1="00000000"/>
  </w:font>
  <w:font w:name="方正小标宋_GBK">
    <w:panose1 w:val="03000509000000000000"/>
    <w:charset w:val="86"/>
    <w:family w:val="auto"/>
    <w:pitch w:val="default"/>
    <w:sig w:usb0="00000001" w:usb1="080E0000" w:usb2="00000000" w:usb3="00000000" w:csb0="00040000" w:csb1="00000000"/>
  </w:font>
  <w:font w:name="Arial Unicode MS">
    <w:altName w:val="Times New Roman"/>
    <w:panose1 w:val="020B0604020202020204"/>
    <w:charset w:val="86"/>
    <w:family w:val="swiss"/>
    <w:pitch w:val="default"/>
    <w:sig w:usb0="00000000" w:usb1="00000000" w:usb2="0000003F" w:usb3="00000000" w:csb0="603F01FF" w:csb1="FFFF0000"/>
  </w:font>
  <w:font w:name="仿宋">
    <w:altName w:val="宋体"/>
    <w:panose1 w:val="02010609060101010101"/>
    <w:charset w:val="86"/>
    <w:family w:val="auto"/>
    <w:pitch w:val="default"/>
    <w:sig w:usb0="00000000" w:usb1="00000000"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NanumGothic">
    <w:panose1 w:val="020D0604000000000000"/>
    <w:charset w:val="81"/>
    <w:family w:val="auto"/>
    <w:pitch w:val="default"/>
    <w:sig w:usb0="900002A7" w:usb1="29D7FCFB" w:usb2="00000010"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right"/>
    </w:pPr>
    <w: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t>—</w:t>
                          </w:r>
                          <w:r>
                            <w:rPr>
                              <w:rFonts w:ascii="Times New Roman" w:hAnsi="Times New Roman"/>
                              <w:sz w:val="30"/>
                              <w:szCs w:val="30"/>
                            </w:rPr>
                            <w:t xml:space="preserve"> </w:t>
                          </w:r>
                          <w:r>
                            <w:rPr>
                              <w:rFonts w:ascii="Times New Roman" w:hAnsi="Times New Roman"/>
                              <w:sz w:val="28"/>
                              <w:szCs w:val="28"/>
                            </w:rPr>
                            <w:fldChar w:fldCharType="begin"/>
                          </w:r>
                          <w:r>
                            <w:rPr>
                              <w:rFonts w:ascii="Times New Roman" w:hAnsi="Times New Roman"/>
                              <w:sz w:val="28"/>
                              <w:szCs w:val="28"/>
                            </w:rPr>
                            <w:instrText xml:space="preserve"> PAGE  \* MERGEFORMAT </w:instrText>
                          </w:r>
                          <w:r>
                            <w:rPr>
                              <w:rFonts w:ascii="Times New Roman" w:hAnsi="Times New Roman"/>
                              <w:sz w:val="28"/>
                              <w:szCs w:val="28"/>
                            </w:rPr>
                            <w:fldChar w:fldCharType="separate"/>
                          </w:r>
                          <w:r>
                            <w:rPr>
                              <w:rFonts w:ascii="Times New Roman" w:hAnsi="Times New Roman"/>
                              <w:sz w:val="28"/>
                              <w:szCs w:val="28"/>
                            </w:rPr>
                            <w:t>6</w:t>
                          </w:r>
                          <w:r>
                            <w:rPr>
                              <w:rFonts w:ascii="Times New Roman" w:hAnsi="Times New Roman"/>
                              <w:sz w:val="28"/>
                              <w:szCs w:val="28"/>
                            </w:rPr>
                            <w:fldChar w:fldCharType="end"/>
                          </w:r>
                          <w:r>
                            <w:rPr>
                              <w:sz w:val="28"/>
                              <w:szCs w:val="28"/>
                            </w:rPr>
                            <w:t xml:space="preserve"> </w:t>
                          </w:r>
                          <w: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WAAAAZHJzL1BLAQIUABQAAAAIAIdO4kCzSVju0AAA&#10;AAUBAAAPAAAAAAAAAAEAIAAAADgAAABkcnMvZG93bnJldi54bWxQSwECFAAUAAAACACHTuJAvCZL&#10;AxACAAAHBAAADgAAAAAAAAABACAAAAA1AQAAZHJzL2Uyb0RvYy54bWxQSwUGAAAAAAYABgBZAQAA&#10;twUAAAAA&#10;">
              <v:fill on="f" focussize="0,0"/>
              <v:stroke on="f" weight="0.5pt"/>
              <v:imagedata o:title=""/>
              <o:lock v:ext="edit" aspectratio="f"/>
              <v:textbox inset="0mm,0mm,0mm,0mm" style="mso-fit-shape-to-text:t;">
                <w:txbxContent>
                  <w:p>
                    <w:pPr>
                      <w:pStyle w:val="9"/>
                    </w:pPr>
                    <w:r>
                      <w:t>—</w:t>
                    </w:r>
                    <w:r>
                      <w:rPr>
                        <w:rFonts w:ascii="Times New Roman" w:hAnsi="Times New Roman"/>
                        <w:sz w:val="30"/>
                        <w:szCs w:val="30"/>
                      </w:rPr>
                      <w:t xml:space="preserve"> </w:t>
                    </w:r>
                    <w:r>
                      <w:rPr>
                        <w:rFonts w:ascii="Times New Roman" w:hAnsi="Times New Roman"/>
                        <w:sz w:val="28"/>
                        <w:szCs w:val="28"/>
                      </w:rPr>
                      <w:fldChar w:fldCharType="begin"/>
                    </w:r>
                    <w:r>
                      <w:rPr>
                        <w:rFonts w:ascii="Times New Roman" w:hAnsi="Times New Roman"/>
                        <w:sz w:val="28"/>
                        <w:szCs w:val="28"/>
                      </w:rPr>
                      <w:instrText xml:space="preserve"> PAGE  \* MERGEFORMAT </w:instrText>
                    </w:r>
                    <w:r>
                      <w:rPr>
                        <w:rFonts w:ascii="Times New Roman" w:hAnsi="Times New Roman"/>
                        <w:sz w:val="28"/>
                        <w:szCs w:val="28"/>
                      </w:rPr>
                      <w:fldChar w:fldCharType="separate"/>
                    </w:r>
                    <w:r>
                      <w:rPr>
                        <w:rFonts w:ascii="Times New Roman" w:hAnsi="Times New Roman"/>
                        <w:sz w:val="28"/>
                        <w:szCs w:val="28"/>
                      </w:rPr>
                      <w:t>6</w:t>
                    </w:r>
                    <w:r>
                      <w:rPr>
                        <w:rFonts w:ascii="Times New Roman" w:hAnsi="Times New Roman"/>
                        <w:sz w:val="28"/>
                        <w:szCs w:val="28"/>
                      </w:rPr>
                      <w:fldChar w:fldCharType="end"/>
                    </w:r>
                    <w:r>
                      <w:rPr>
                        <w:sz w:val="28"/>
                        <w:szCs w:val="28"/>
                      </w:rPr>
                      <w:t xml:space="preserve"> </w:t>
                    </w:r>
                    <w:r>
                      <w:t>—</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right"/>
    </w:pPr>
    <w: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t>—</w:t>
                          </w:r>
                          <w:r>
                            <w:rPr>
                              <w:rFonts w:ascii="Times New Roman" w:hAnsi="Times New Roman"/>
                              <w:sz w:val="28"/>
                              <w:szCs w:val="28"/>
                            </w:rPr>
                            <w:t xml:space="preserve"> </w:t>
                          </w:r>
                          <w:r>
                            <w:rPr>
                              <w:rFonts w:ascii="Times New Roman" w:hAnsi="Times New Roman"/>
                              <w:sz w:val="28"/>
                              <w:szCs w:val="28"/>
                            </w:rPr>
                            <w:fldChar w:fldCharType="begin"/>
                          </w:r>
                          <w:r>
                            <w:rPr>
                              <w:rFonts w:ascii="Times New Roman" w:hAnsi="Times New Roman"/>
                              <w:sz w:val="28"/>
                              <w:szCs w:val="28"/>
                            </w:rPr>
                            <w:instrText xml:space="preserve"> PAGE  \* MERGEFORMAT </w:instrText>
                          </w:r>
                          <w:r>
                            <w:rPr>
                              <w:rFonts w:ascii="Times New Roman" w:hAnsi="Times New Roman"/>
                              <w:sz w:val="28"/>
                              <w:szCs w:val="28"/>
                            </w:rPr>
                            <w:fldChar w:fldCharType="separate"/>
                          </w:r>
                          <w:r>
                            <w:rPr>
                              <w:rFonts w:ascii="Times New Roman" w:hAnsi="Times New Roman"/>
                              <w:sz w:val="28"/>
                              <w:szCs w:val="28"/>
                            </w:rPr>
                            <w:t>7</w:t>
                          </w:r>
                          <w:r>
                            <w:rPr>
                              <w:rFonts w:ascii="Times New Roman" w:hAnsi="Times New Roman"/>
                              <w:sz w:val="28"/>
                              <w:szCs w:val="28"/>
                            </w:rPr>
                            <w:fldChar w:fldCharType="end"/>
                          </w:r>
                          <w:r>
                            <w:rPr>
                              <w:sz w:val="28"/>
                              <w:szCs w:val="28"/>
                            </w:rPr>
                            <w:t xml:space="preserve"> </w:t>
                          </w:r>
                          <w: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FgAAAGRycy9QSwECFAAUAAAACACHTuJAs0lY7tAAAAAF&#10;AQAADwAAAAAAAAABACAAAAA4AAAAZHJzL2Rvd25yZXYueG1sUEsBAhQAFAAAAAgAh07iQLLOYfwO&#10;AgAACQQAAA4AAAAAAAAAAQAgAAAANQEAAGRycy9lMm9Eb2MueG1sUEsFBgAAAAAGAAYAWQEAALUF&#10;AAAAAA==&#10;">
              <v:fill on="f" focussize="0,0"/>
              <v:stroke on="f" weight="0.5pt"/>
              <v:imagedata o:title=""/>
              <o:lock v:ext="edit" aspectratio="f"/>
              <v:textbox inset="0mm,0mm,0mm,0mm" style="mso-fit-shape-to-text:t;">
                <w:txbxContent>
                  <w:p>
                    <w:pPr>
                      <w:pStyle w:val="9"/>
                    </w:pPr>
                    <w:r>
                      <w:t>—</w:t>
                    </w:r>
                    <w:r>
                      <w:rPr>
                        <w:rFonts w:ascii="Times New Roman" w:hAnsi="Times New Roman"/>
                        <w:sz w:val="28"/>
                        <w:szCs w:val="28"/>
                      </w:rPr>
                      <w:t xml:space="preserve"> </w:t>
                    </w:r>
                    <w:r>
                      <w:rPr>
                        <w:rFonts w:ascii="Times New Roman" w:hAnsi="Times New Roman"/>
                        <w:sz w:val="28"/>
                        <w:szCs w:val="28"/>
                      </w:rPr>
                      <w:fldChar w:fldCharType="begin"/>
                    </w:r>
                    <w:r>
                      <w:rPr>
                        <w:rFonts w:ascii="Times New Roman" w:hAnsi="Times New Roman"/>
                        <w:sz w:val="28"/>
                        <w:szCs w:val="28"/>
                      </w:rPr>
                      <w:instrText xml:space="preserve"> PAGE  \* MERGEFORMAT </w:instrText>
                    </w:r>
                    <w:r>
                      <w:rPr>
                        <w:rFonts w:ascii="Times New Roman" w:hAnsi="Times New Roman"/>
                        <w:sz w:val="28"/>
                        <w:szCs w:val="28"/>
                      </w:rPr>
                      <w:fldChar w:fldCharType="separate"/>
                    </w:r>
                    <w:r>
                      <w:rPr>
                        <w:rFonts w:ascii="Times New Roman" w:hAnsi="Times New Roman"/>
                        <w:sz w:val="28"/>
                        <w:szCs w:val="28"/>
                      </w:rPr>
                      <w:t>7</w:t>
                    </w:r>
                    <w:r>
                      <w:rPr>
                        <w:rFonts w:ascii="Times New Roman" w:hAnsi="Times New Roman"/>
                        <w:sz w:val="28"/>
                        <w:szCs w:val="28"/>
                      </w:rPr>
                      <w:fldChar w:fldCharType="end"/>
                    </w:r>
                    <w:r>
                      <w:rPr>
                        <w:sz w:val="28"/>
                        <w:szCs w:val="28"/>
                      </w:rPr>
                      <w:t xml:space="preserve"> </w:t>
                    </w:r>
                    <w: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t>—</w:t>
                          </w:r>
                          <w:r>
                            <w:rPr>
                              <w:rFonts w:ascii="Times New Roman" w:hAnsi="Times New Roman"/>
                              <w:sz w:val="28"/>
                              <w:szCs w:val="28"/>
                            </w:rPr>
                            <w:t xml:space="preserve"> </w:t>
                          </w:r>
                          <w:r>
                            <w:rPr>
                              <w:rFonts w:ascii="Times New Roman" w:hAnsi="Times New Roman"/>
                              <w:sz w:val="28"/>
                              <w:szCs w:val="28"/>
                            </w:rPr>
                            <w:fldChar w:fldCharType="begin"/>
                          </w:r>
                          <w:r>
                            <w:rPr>
                              <w:rFonts w:ascii="Times New Roman" w:hAnsi="Times New Roman"/>
                              <w:sz w:val="28"/>
                              <w:szCs w:val="28"/>
                            </w:rPr>
                            <w:instrText xml:space="preserve"> PAGE  \* MERGEFORMAT </w:instrText>
                          </w:r>
                          <w:r>
                            <w:rPr>
                              <w:rFonts w:ascii="Times New Roman" w:hAnsi="Times New Roman"/>
                              <w:sz w:val="28"/>
                              <w:szCs w:val="28"/>
                            </w:rPr>
                            <w:fldChar w:fldCharType="separate"/>
                          </w:r>
                          <w:r>
                            <w:rPr>
                              <w:rFonts w:ascii="Times New Roman" w:hAnsi="Times New Roman"/>
                              <w:sz w:val="28"/>
                              <w:szCs w:val="28"/>
                            </w:rPr>
                            <w:t>36</w:t>
                          </w:r>
                          <w:r>
                            <w:rPr>
                              <w:rFonts w:ascii="Times New Roman" w:hAnsi="Times New Roman"/>
                              <w:sz w:val="28"/>
                              <w:szCs w:val="28"/>
                            </w:rP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FgAAAGRycy9QSwECFAAUAAAACACHTuJAs0lY7tAAAAAF&#10;AQAADwAAAAAAAAABACAAAAA4AAAAZHJzL2Rvd25yZXYueG1sUEsBAhQAFAAAAAgAh07iQBqDMrwO&#10;AgAACQQAAA4AAAAAAAAAAQAgAAAANQEAAGRycy9lMm9Eb2MueG1sUEsFBgAAAAAGAAYAWQEAALUF&#10;AAAAAA==&#10;">
              <v:fill on="f" focussize="0,0"/>
              <v:stroke on="f" weight="0.5pt"/>
              <v:imagedata o:title=""/>
              <o:lock v:ext="edit" aspectratio="f"/>
              <v:textbox inset="0mm,0mm,0mm,0mm" style="mso-fit-shape-to-text:t;">
                <w:txbxContent>
                  <w:p>
                    <w:pPr>
                      <w:pStyle w:val="9"/>
                    </w:pPr>
                    <w:r>
                      <w:t>—</w:t>
                    </w:r>
                    <w:r>
                      <w:rPr>
                        <w:rFonts w:ascii="Times New Roman" w:hAnsi="Times New Roman"/>
                        <w:sz w:val="28"/>
                        <w:szCs w:val="28"/>
                      </w:rPr>
                      <w:t xml:space="preserve"> </w:t>
                    </w:r>
                    <w:r>
                      <w:rPr>
                        <w:rFonts w:ascii="Times New Roman" w:hAnsi="Times New Roman"/>
                        <w:sz w:val="28"/>
                        <w:szCs w:val="28"/>
                      </w:rPr>
                      <w:fldChar w:fldCharType="begin"/>
                    </w:r>
                    <w:r>
                      <w:rPr>
                        <w:rFonts w:ascii="Times New Roman" w:hAnsi="Times New Roman"/>
                        <w:sz w:val="28"/>
                        <w:szCs w:val="28"/>
                      </w:rPr>
                      <w:instrText xml:space="preserve"> PAGE  \* MERGEFORMAT </w:instrText>
                    </w:r>
                    <w:r>
                      <w:rPr>
                        <w:rFonts w:ascii="Times New Roman" w:hAnsi="Times New Roman"/>
                        <w:sz w:val="28"/>
                        <w:szCs w:val="28"/>
                      </w:rPr>
                      <w:fldChar w:fldCharType="separate"/>
                    </w:r>
                    <w:r>
                      <w:rPr>
                        <w:rFonts w:ascii="Times New Roman" w:hAnsi="Times New Roman"/>
                        <w:sz w:val="28"/>
                        <w:szCs w:val="28"/>
                      </w:rPr>
                      <w:t>36</w:t>
                    </w:r>
                    <w:r>
                      <w:rPr>
                        <w:rFonts w:ascii="Times New Roman" w:hAnsi="Times New Roman"/>
                        <w:sz w:val="28"/>
                        <w:szCs w:val="28"/>
                      </w:rPr>
                      <w:fldChar w:fldCharType="end"/>
                    </w:r>
                    <w: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8E26152"/>
    <w:multiLevelType w:val="singleLevel"/>
    <w:tmpl w:val="E8E26152"/>
    <w:lvl w:ilvl="0" w:tentative="0">
      <w:start w:val="1"/>
      <w:numFmt w:val="decimal"/>
      <w:lvlText w:val="%1."/>
      <w:lvlJc w:val="left"/>
      <w:pPr>
        <w:tabs>
          <w:tab w:val="left" w:pos="312"/>
        </w:tabs>
      </w:pPr>
    </w:lvl>
  </w:abstractNum>
  <w:abstractNum w:abstractNumId="1">
    <w:nsid w:val="50CD1844"/>
    <w:multiLevelType w:val="multilevel"/>
    <w:tmpl w:val="50CD1844"/>
    <w:lvl w:ilvl="0" w:tentative="0">
      <w:start w:val="1"/>
      <w:numFmt w:val="decimal"/>
      <w:suff w:val="nothing"/>
      <w:lvlText w:val="%1."/>
      <w:lvlJc w:val="left"/>
      <w:pPr>
        <w:ind w:left="0" w:firstLine="0"/>
      </w:pPr>
      <w:rPr>
        <w:rFonts w:hint="eastAsia"/>
      </w:rPr>
    </w:lvl>
    <w:lvl w:ilvl="1" w:tentative="0">
      <w:start w:val="1"/>
      <w:numFmt w:val="decimal"/>
      <w:pStyle w:val="3"/>
      <w:lvlText w:val="%1.%2."/>
      <w:lvlJc w:val="left"/>
      <w:pPr>
        <w:ind w:left="0" w:firstLine="0"/>
      </w:pPr>
      <w:rPr>
        <w:rFonts w:hint="eastAsia"/>
      </w:rPr>
    </w:lvl>
    <w:lvl w:ilvl="2" w:tentative="0">
      <w:start w:val="1"/>
      <w:numFmt w:val="decimal"/>
      <w:lvlText w:val="%1.%2.%3."/>
      <w:lvlJc w:val="left"/>
      <w:pPr>
        <w:ind w:left="709" w:hanging="709"/>
      </w:pPr>
      <w:rPr>
        <w:rFonts w:hint="eastAsia"/>
      </w:rPr>
    </w:lvl>
    <w:lvl w:ilvl="3" w:tentative="0">
      <w:start w:val="1"/>
      <w:numFmt w:val="decimal"/>
      <w:lvlText w:val="%1.%2.%3.%4."/>
      <w:lvlJc w:val="left"/>
      <w:pPr>
        <w:ind w:left="851" w:hanging="851"/>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TrueTypeFonts/>
  <w:saveSubset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VkMThhMGYyZjBhNmUxNGI0NjIyMjJlM2U0MGEzMWYifQ=="/>
  </w:docVars>
  <w:rsids>
    <w:rsidRoot w:val="00574E46"/>
    <w:rsid w:val="00020110"/>
    <w:rsid w:val="0031535E"/>
    <w:rsid w:val="00562CC9"/>
    <w:rsid w:val="00574E46"/>
    <w:rsid w:val="008079C2"/>
    <w:rsid w:val="00E80F8E"/>
    <w:rsid w:val="00F077F5"/>
    <w:rsid w:val="01086C64"/>
    <w:rsid w:val="012A6BDB"/>
    <w:rsid w:val="0156177E"/>
    <w:rsid w:val="02060C6E"/>
    <w:rsid w:val="02361A88"/>
    <w:rsid w:val="02451FAA"/>
    <w:rsid w:val="02731536"/>
    <w:rsid w:val="02980103"/>
    <w:rsid w:val="030505FC"/>
    <w:rsid w:val="033755DF"/>
    <w:rsid w:val="033E4BBF"/>
    <w:rsid w:val="03A82039"/>
    <w:rsid w:val="03AD16B4"/>
    <w:rsid w:val="03F2214F"/>
    <w:rsid w:val="041A2F36"/>
    <w:rsid w:val="04C66C1A"/>
    <w:rsid w:val="053A4F12"/>
    <w:rsid w:val="05FE7A06"/>
    <w:rsid w:val="067508F8"/>
    <w:rsid w:val="067D155B"/>
    <w:rsid w:val="071D659A"/>
    <w:rsid w:val="07C02DAC"/>
    <w:rsid w:val="07C5140B"/>
    <w:rsid w:val="07CD52D1"/>
    <w:rsid w:val="07EC4BEA"/>
    <w:rsid w:val="08404F2B"/>
    <w:rsid w:val="091F0FEF"/>
    <w:rsid w:val="092354B3"/>
    <w:rsid w:val="09F77C68"/>
    <w:rsid w:val="0AF5476F"/>
    <w:rsid w:val="0C253044"/>
    <w:rsid w:val="0C2D4E65"/>
    <w:rsid w:val="0C3703FE"/>
    <w:rsid w:val="0C48085D"/>
    <w:rsid w:val="0C644334"/>
    <w:rsid w:val="0C740855"/>
    <w:rsid w:val="0CAC0DEC"/>
    <w:rsid w:val="0D3122B2"/>
    <w:rsid w:val="0D5867A2"/>
    <w:rsid w:val="0D7107F6"/>
    <w:rsid w:val="0E0A4BA1"/>
    <w:rsid w:val="0E545297"/>
    <w:rsid w:val="0E547C70"/>
    <w:rsid w:val="0E6A4ABA"/>
    <w:rsid w:val="0E8A0CB9"/>
    <w:rsid w:val="0F184516"/>
    <w:rsid w:val="0F296723"/>
    <w:rsid w:val="0F5B4568"/>
    <w:rsid w:val="0F66417F"/>
    <w:rsid w:val="0F823522"/>
    <w:rsid w:val="0F95D671"/>
    <w:rsid w:val="0FB651A5"/>
    <w:rsid w:val="0FFD09AE"/>
    <w:rsid w:val="10140C8A"/>
    <w:rsid w:val="109D5B2F"/>
    <w:rsid w:val="110E6769"/>
    <w:rsid w:val="113E5D8A"/>
    <w:rsid w:val="11EA48C7"/>
    <w:rsid w:val="11FA7F03"/>
    <w:rsid w:val="12296A3A"/>
    <w:rsid w:val="12541D09"/>
    <w:rsid w:val="125E6FCE"/>
    <w:rsid w:val="128338A8"/>
    <w:rsid w:val="12955B8D"/>
    <w:rsid w:val="12A82965"/>
    <w:rsid w:val="12AB2FBE"/>
    <w:rsid w:val="130C25E4"/>
    <w:rsid w:val="130D3C66"/>
    <w:rsid w:val="13260671"/>
    <w:rsid w:val="132E255A"/>
    <w:rsid w:val="135C62F1"/>
    <w:rsid w:val="13716932"/>
    <w:rsid w:val="13A763F1"/>
    <w:rsid w:val="13C70351"/>
    <w:rsid w:val="14A81E98"/>
    <w:rsid w:val="14EF7AC7"/>
    <w:rsid w:val="15790924"/>
    <w:rsid w:val="159644BE"/>
    <w:rsid w:val="159F344E"/>
    <w:rsid w:val="15EC4007"/>
    <w:rsid w:val="15EC4D86"/>
    <w:rsid w:val="168D0971"/>
    <w:rsid w:val="169A1CB5"/>
    <w:rsid w:val="16BE1D2A"/>
    <w:rsid w:val="16D93822"/>
    <w:rsid w:val="172378DE"/>
    <w:rsid w:val="174340FA"/>
    <w:rsid w:val="17805F9B"/>
    <w:rsid w:val="178A7F7B"/>
    <w:rsid w:val="1790144B"/>
    <w:rsid w:val="17B539E4"/>
    <w:rsid w:val="17C022D8"/>
    <w:rsid w:val="17E07B9B"/>
    <w:rsid w:val="17EA76D9"/>
    <w:rsid w:val="181B22BC"/>
    <w:rsid w:val="18313D8C"/>
    <w:rsid w:val="18842C1C"/>
    <w:rsid w:val="188F6751"/>
    <w:rsid w:val="189D12B1"/>
    <w:rsid w:val="18B47BE3"/>
    <w:rsid w:val="18FB236F"/>
    <w:rsid w:val="197113F3"/>
    <w:rsid w:val="19AF087B"/>
    <w:rsid w:val="1A2B05FE"/>
    <w:rsid w:val="1A5003B0"/>
    <w:rsid w:val="1A7016AA"/>
    <w:rsid w:val="1A9D5C4C"/>
    <w:rsid w:val="1AE80C2A"/>
    <w:rsid w:val="1B324BB2"/>
    <w:rsid w:val="1B9E6C46"/>
    <w:rsid w:val="1BD400F7"/>
    <w:rsid w:val="1BEF3676"/>
    <w:rsid w:val="1BF41663"/>
    <w:rsid w:val="1BFA1C6D"/>
    <w:rsid w:val="1BFE4A94"/>
    <w:rsid w:val="1C33065F"/>
    <w:rsid w:val="1C4E77C9"/>
    <w:rsid w:val="1C6A3ED7"/>
    <w:rsid w:val="1CC205EC"/>
    <w:rsid w:val="1D2D3883"/>
    <w:rsid w:val="1DD56C7D"/>
    <w:rsid w:val="1E2F7187"/>
    <w:rsid w:val="1E7A2AF8"/>
    <w:rsid w:val="1ED01529"/>
    <w:rsid w:val="1F5570C1"/>
    <w:rsid w:val="1F672950"/>
    <w:rsid w:val="1FFBB84C"/>
    <w:rsid w:val="203B7A24"/>
    <w:rsid w:val="20CC62D2"/>
    <w:rsid w:val="20F003E8"/>
    <w:rsid w:val="210777C5"/>
    <w:rsid w:val="210A7A37"/>
    <w:rsid w:val="210B4D68"/>
    <w:rsid w:val="217E1DB6"/>
    <w:rsid w:val="21A244F3"/>
    <w:rsid w:val="21B24DBD"/>
    <w:rsid w:val="21D756B7"/>
    <w:rsid w:val="21F7620D"/>
    <w:rsid w:val="22097CEF"/>
    <w:rsid w:val="22471FB8"/>
    <w:rsid w:val="225C7718"/>
    <w:rsid w:val="22647E87"/>
    <w:rsid w:val="22665141"/>
    <w:rsid w:val="227855A0"/>
    <w:rsid w:val="22B45EAC"/>
    <w:rsid w:val="22F34C27"/>
    <w:rsid w:val="23137077"/>
    <w:rsid w:val="2331574F"/>
    <w:rsid w:val="237C10C0"/>
    <w:rsid w:val="24014C67"/>
    <w:rsid w:val="2484122C"/>
    <w:rsid w:val="24A85EE5"/>
    <w:rsid w:val="24B84BB9"/>
    <w:rsid w:val="250515AA"/>
    <w:rsid w:val="250A2C33"/>
    <w:rsid w:val="255143DB"/>
    <w:rsid w:val="25636F8B"/>
    <w:rsid w:val="25CF407D"/>
    <w:rsid w:val="25E76599"/>
    <w:rsid w:val="26027F25"/>
    <w:rsid w:val="26BE379D"/>
    <w:rsid w:val="26EC030B"/>
    <w:rsid w:val="274D128B"/>
    <w:rsid w:val="277B4C39"/>
    <w:rsid w:val="27802801"/>
    <w:rsid w:val="28771E56"/>
    <w:rsid w:val="289357A5"/>
    <w:rsid w:val="28CD1A76"/>
    <w:rsid w:val="28F811E9"/>
    <w:rsid w:val="28FA2F61"/>
    <w:rsid w:val="290D27BA"/>
    <w:rsid w:val="29361D11"/>
    <w:rsid w:val="29F045FD"/>
    <w:rsid w:val="2A5B26E3"/>
    <w:rsid w:val="2A873116"/>
    <w:rsid w:val="2A926617"/>
    <w:rsid w:val="2AD13C1E"/>
    <w:rsid w:val="2AEA2DB3"/>
    <w:rsid w:val="2AEC6B2B"/>
    <w:rsid w:val="2B363EE8"/>
    <w:rsid w:val="2BF13CCD"/>
    <w:rsid w:val="2BFC27CD"/>
    <w:rsid w:val="2C02237E"/>
    <w:rsid w:val="2C923702"/>
    <w:rsid w:val="2CA00D0E"/>
    <w:rsid w:val="2CF021D7"/>
    <w:rsid w:val="2D8946DA"/>
    <w:rsid w:val="2DC42D22"/>
    <w:rsid w:val="2E19220C"/>
    <w:rsid w:val="2E1D53AA"/>
    <w:rsid w:val="2E672799"/>
    <w:rsid w:val="2EAE2349"/>
    <w:rsid w:val="2F363900"/>
    <w:rsid w:val="2F9D4288"/>
    <w:rsid w:val="2FCC29AF"/>
    <w:rsid w:val="31181CFC"/>
    <w:rsid w:val="313C3D20"/>
    <w:rsid w:val="315E02E1"/>
    <w:rsid w:val="3166515D"/>
    <w:rsid w:val="318444C8"/>
    <w:rsid w:val="31871454"/>
    <w:rsid w:val="31B934DF"/>
    <w:rsid w:val="31D67F65"/>
    <w:rsid w:val="320B7DBF"/>
    <w:rsid w:val="32163D42"/>
    <w:rsid w:val="3216448E"/>
    <w:rsid w:val="322D17D7"/>
    <w:rsid w:val="32472899"/>
    <w:rsid w:val="32F347CF"/>
    <w:rsid w:val="32F551B5"/>
    <w:rsid w:val="33034261"/>
    <w:rsid w:val="334D4483"/>
    <w:rsid w:val="336E761C"/>
    <w:rsid w:val="338A0FFE"/>
    <w:rsid w:val="3393097F"/>
    <w:rsid w:val="33A61841"/>
    <w:rsid w:val="33BB5E90"/>
    <w:rsid w:val="33EF3F07"/>
    <w:rsid w:val="33F049DD"/>
    <w:rsid w:val="344421C8"/>
    <w:rsid w:val="34FF407A"/>
    <w:rsid w:val="35352E7D"/>
    <w:rsid w:val="3537535E"/>
    <w:rsid w:val="35392D32"/>
    <w:rsid w:val="3560640E"/>
    <w:rsid w:val="356D2C96"/>
    <w:rsid w:val="358205D2"/>
    <w:rsid w:val="36882D07"/>
    <w:rsid w:val="368A03D9"/>
    <w:rsid w:val="36B87A7C"/>
    <w:rsid w:val="36D587CF"/>
    <w:rsid w:val="373A29CC"/>
    <w:rsid w:val="373D2DFA"/>
    <w:rsid w:val="37436FF7"/>
    <w:rsid w:val="378A0690"/>
    <w:rsid w:val="37A60C91"/>
    <w:rsid w:val="37DB64F4"/>
    <w:rsid w:val="388B4469"/>
    <w:rsid w:val="38B9775E"/>
    <w:rsid w:val="38CB261E"/>
    <w:rsid w:val="38F36683"/>
    <w:rsid w:val="391757BF"/>
    <w:rsid w:val="396041AE"/>
    <w:rsid w:val="39A57B6D"/>
    <w:rsid w:val="39A90F1D"/>
    <w:rsid w:val="39A916B7"/>
    <w:rsid w:val="39EA35CB"/>
    <w:rsid w:val="3A993951"/>
    <w:rsid w:val="3AC84793"/>
    <w:rsid w:val="3B4F3C1E"/>
    <w:rsid w:val="3BED15CB"/>
    <w:rsid w:val="3C375760"/>
    <w:rsid w:val="3C6A3D54"/>
    <w:rsid w:val="3C727817"/>
    <w:rsid w:val="3CB421AB"/>
    <w:rsid w:val="3CCC3B12"/>
    <w:rsid w:val="3CE04016"/>
    <w:rsid w:val="3CE43076"/>
    <w:rsid w:val="3CEB7850"/>
    <w:rsid w:val="3D77529E"/>
    <w:rsid w:val="3DC10BD0"/>
    <w:rsid w:val="3DE91351"/>
    <w:rsid w:val="3E4F1D73"/>
    <w:rsid w:val="3E6F6D3C"/>
    <w:rsid w:val="3E79027E"/>
    <w:rsid w:val="3EAF3E76"/>
    <w:rsid w:val="3EFE69D5"/>
    <w:rsid w:val="3F0BF893"/>
    <w:rsid w:val="3F4FBEEC"/>
    <w:rsid w:val="3F5FE47C"/>
    <w:rsid w:val="3F7E0ADB"/>
    <w:rsid w:val="3FBD1749"/>
    <w:rsid w:val="3FEC4A80"/>
    <w:rsid w:val="3FF7F781"/>
    <w:rsid w:val="3FFDF208"/>
    <w:rsid w:val="404C072E"/>
    <w:rsid w:val="40563201"/>
    <w:rsid w:val="40617873"/>
    <w:rsid w:val="406805AA"/>
    <w:rsid w:val="40A953F2"/>
    <w:rsid w:val="40BB5042"/>
    <w:rsid w:val="40D423DC"/>
    <w:rsid w:val="40FC1DAD"/>
    <w:rsid w:val="41CC2DBB"/>
    <w:rsid w:val="41D50279"/>
    <w:rsid w:val="41F4296A"/>
    <w:rsid w:val="421B63C3"/>
    <w:rsid w:val="421C37EA"/>
    <w:rsid w:val="424741EF"/>
    <w:rsid w:val="42C749B7"/>
    <w:rsid w:val="42E12896"/>
    <w:rsid w:val="43170066"/>
    <w:rsid w:val="434F3ABD"/>
    <w:rsid w:val="43515C3F"/>
    <w:rsid w:val="439F70F5"/>
    <w:rsid w:val="43AE222B"/>
    <w:rsid w:val="442073EE"/>
    <w:rsid w:val="44B442C3"/>
    <w:rsid w:val="44C55076"/>
    <w:rsid w:val="44C6668D"/>
    <w:rsid w:val="456357E4"/>
    <w:rsid w:val="45793E0E"/>
    <w:rsid w:val="45A02A00"/>
    <w:rsid w:val="45E5204E"/>
    <w:rsid w:val="461035B2"/>
    <w:rsid w:val="4614088C"/>
    <w:rsid w:val="463E737E"/>
    <w:rsid w:val="467B467D"/>
    <w:rsid w:val="47267382"/>
    <w:rsid w:val="47726EE6"/>
    <w:rsid w:val="479F5347"/>
    <w:rsid w:val="47B9472C"/>
    <w:rsid w:val="47C87B80"/>
    <w:rsid w:val="48842A7C"/>
    <w:rsid w:val="48FA08C5"/>
    <w:rsid w:val="4913561C"/>
    <w:rsid w:val="492E6109"/>
    <w:rsid w:val="49382AE4"/>
    <w:rsid w:val="497A4E6B"/>
    <w:rsid w:val="49A24A0C"/>
    <w:rsid w:val="4A5D0A54"/>
    <w:rsid w:val="4A6602C8"/>
    <w:rsid w:val="4A7A0268"/>
    <w:rsid w:val="4AB459C0"/>
    <w:rsid w:val="4AC42881"/>
    <w:rsid w:val="4B1E436D"/>
    <w:rsid w:val="4B245A16"/>
    <w:rsid w:val="4B272E08"/>
    <w:rsid w:val="4B375A08"/>
    <w:rsid w:val="4B4B6AFE"/>
    <w:rsid w:val="4B5034F8"/>
    <w:rsid w:val="4B8B7843"/>
    <w:rsid w:val="4C2E3DE8"/>
    <w:rsid w:val="4C921D09"/>
    <w:rsid w:val="4CCC3A0C"/>
    <w:rsid w:val="4CE87D8D"/>
    <w:rsid w:val="4CEA0599"/>
    <w:rsid w:val="4D0A5BEE"/>
    <w:rsid w:val="4D406FB3"/>
    <w:rsid w:val="4D700A9E"/>
    <w:rsid w:val="4D866514"/>
    <w:rsid w:val="4D8F52CB"/>
    <w:rsid w:val="4DC32EEE"/>
    <w:rsid w:val="4E0E3D13"/>
    <w:rsid w:val="4E115752"/>
    <w:rsid w:val="4E233D62"/>
    <w:rsid w:val="4E5433A3"/>
    <w:rsid w:val="4E85621C"/>
    <w:rsid w:val="4E98162F"/>
    <w:rsid w:val="4ED02686"/>
    <w:rsid w:val="4F2D21AA"/>
    <w:rsid w:val="4F5959D6"/>
    <w:rsid w:val="4F5F48E4"/>
    <w:rsid w:val="4FABB735"/>
    <w:rsid w:val="4FB37368"/>
    <w:rsid w:val="4FD35CB4"/>
    <w:rsid w:val="4FEA3ADA"/>
    <w:rsid w:val="50A815FE"/>
    <w:rsid w:val="50F25D3C"/>
    <w:rsid w:val="50F53B41"/>
    <w:rsid w:val="51424D5F"/>
    <w:rsid w:val="515E50B1"/>
    <w:rsid w:val="515F3303"/>
    <w:rsid w:val="519C6DCF"/>
    <w:rsid w:val="51CB2747"/>
    <w:rsid w:val="51EF7E0A"/>
    <w:rsid w:val="523A78CD"/>
    <w:rsid w:val="525902C9"/>
    <w:rsid w:val="52974D1F"/>
    <w:rsid w:val="536E5146"/>
    <w:rsid w:val="53890B0C"/>
    <w:rsid w:val="53A2229D"/>
    <w:rsid w:val="53A70F92"/>
    <w:rsid w:val="53C4685F"/>
    <w:rsid w:val="53D564E7"/>
    <w:rsid w:val="53E37D6A"/>
    <w:rsid w:val="53E75832"/>
    <w:rsid w:val="53F90DCC"/>
    <w:rsid w:val="540463E4"/>
    <w:rsid w:val="54212AF2"/>
    <w:rsid w:val="545D3677"/>
    <w:rsid w:val="54932024"/>
    <w:rsid w:val="54D23DEC"/>
    <w:rsid w:val="54DB4B8C"/>
    <w:rsid w:val="54EF7E32"/>
    <w:rsid w:val="54F93BA0"/>
    <w:rsid w:val="55013EA6"/>
    <w:rsid w:val="5563713A"/>
    <w:rsid w:val="55985036"/>
    <w:rsid w:val="55A51501"/>
    <w:rsid w:val="55C16D48"/>
    <w:rsid w:val="55E92A2C"/>
    <w:rsid w:val="560600B8"/>
    <w:rsid w:val="56250AB3"/>
    <w:rsid w:val="566B274A"/>
    <w:rsid w:val="56CD52B9"/>
    <w:rsid w:val="575EF263"/>
    <w:rsid w:val="57AFF636"/>
    <w:rsid w:val="57C727CD"/>
    <w:rsid w:val="57DE5033"/>
    <w:rsid w:val="580C37E6"/>
    <w:rsid w:val="584C476A"/>
    <w:rsid w:val="586506CB"/>
    <w:rsid w:val="587D0513"/>
    <w:rsid w:val="58EC6991"/>
    <w:rsid w:val="591470C9"/>
    <w:rsid w:val="5A0749B8"/>
    <w:rsid w:val="5A276F81"/>
    <w:rsid w:val="5A736072"/>
    <w:rsid w:val="5AE34A3E"/>
    <w:rsid w:val="5B3C0BF4"/>
    <w:rsid w:val="5B5C32A2"/>
    <w:rsid w:val="5BC61C71"/>
    <w:rsid w:val="5BF362D8"/>
    <w:rsid w:val="5BFF84BB"/>
    <w:rsid w:val="5C4E5BE4"/>
    <w:rsid w:val="5C7D2111"/>
    <w:rsid w:val="5CAE4E65"/>
    <w:rsid w:val="5D092F30"/>
    <w:rsid w:val="5D38517C"/>
    <w:rsid w:val="5D5302F0"/>
    <w:rsid w:val="5D8C08B4"/>
    <w:rsid w:val="5E1E7092"/>
    <w:rsid w:val="5E2109BA"/>
    <w:rsid w:val="5E386234"/>
    <w:rsid w:val="5E870876"/>
    <w:rsid w:val="5ECC92A6"/>
    <w:rsid w:val="5F426012"/>
    <w:rsid w:val="5F62370B"/>
    <w:rsid w:val="5F8F1738"/>
    <w:rsid w:val="5F9511B8"/>
    <w:rsid w:val="5FB10D12"/>
    <w:rsid w:val="5FBB2D76"/>
    <w:rsid w:val="5FEF7883"/>
    <w:rsid w:val="60216D06"/>
    <w:rsid w:val="60264FF8"/>
    <w:rsid w:val="603E5124"/>
    <w:rsid w:val="6051475F"/>
    <w:rsid w:val="60BC4315"/>
    <w:rsid w:val="61135EB8"/>
    <w:rsid w:val="611F2AAF"/>
    <w:rsid w:val="61461DEA"/>
    <w:rsid w:val="61540CC5"/>
    <w:rsid w:val="6163626B"/>
    <w:rsid w:val="618B1868"/>
    <w:rsid w:val="618C4A8A"/>
    <w:rsid w:val="61C57C41"/>
    <w:rsid w:val="61FC06FB"/>
    <w:rsid w:val="624F2C18"/>
    <w:rsid w:val="62634C1E"/>
    <w:rsid w:val="627CFFC4"/>
    <w:rsid w:val="62CB13E7"/>
    <w:rsid w:val="62DE1443"/>
    <w:rsid w:val="62EC678F"/>
    <w:rsid w:val="62FD472A"/>
    <w:rsid w:val="633B5253"/>
    <w:rsid w:val="635FEB9C"/>
    <w:rsid w:val="63870498"/>
    <w:rsid w:val="6417181C"/>
    <w:rsid w:val="645A4E70"/>
    <w:rsid w:val="64A86918"/>
    <w:rsid w:val="64C41234"/>
    <w:rsid w:val="64CC6AAA"/>
    <w:rsid w:val="65B710DE"/>
    <w:rsid w:val="65F6BF11"/>
    <w:rsid w:val="6675FCAF"/>
    <w:rsid w:val="668E57B6"/>
    <w:rsid w:val="66C40DA9"/>
    <w:rsid w:val="66F26DF6"/>
    <w:rsid w:val="67297ED0"/>
    <w:rsid w:val="673F370C"/>
    <w:rsid w:val="67A91325"/>
    <w:rsid w:val="67C4064C"/>
    <w:rsid w:val="67F745C7"/>
    <w:rsid w:val="681872C2"/>
    <w:rsid w:val="68192BEF"/>
    <w:rsid w:val="681F1498"/>
    <w:rsid w:val="68835D26"/>
    <w:rsid w:val="691C0536"/>
    <w:rsid w:val="696A1B32"/>
    <w:rsid w:val="696C008B"/>
    <w:rsid w:val="697E11A1"/>
    <w:rsid w:val="6983277D"/>
    <w:rsid w:val="69DA57C5"/>
    <w:rsid w:val="69EE301F"/>
    <w:rsid w:val="6A1C5DDE"/>
    <w:rsid w:val="6A6C18E2"/>
    <w:rsid w:val="6A7F45BF"/>
    <w:rsid w:val="6A9F07BD"/>
    <w:rsid w:val="6AAB72C0"/>
    <w:rsid w:val="6AC768A4"/>
    <w:rsid w:val="6AF24D91"/>
    <w:rsid w:val="6B1C477C"/>
    <w:rsid w:val="6B695D29"/>
    <w:rsid w:val="6B881251"/>
    <w:rsid w:val="6B962A84"/>
    <w:rsid w:val="6B9F6CC6"/>
    <w:rsid w:val="6BA260C0"/>
    <w:rsid w:val="6BC85664"/>
    <w:rsid w:val="6BFFA435"/>
    <w:rsid w:val="6C040F0E"/>
    <w:rsid w:val="6C403237"/>
    <w:rsid w:val="6CC22712"/>
    <w:rsid w:val="6D9B526C"/>
    <w:rsid w:val="6DB63F51"/>
    <w:rsid w:val="6DD717B3"/>
    <w:rsid w:val="6E4753F3"/>
    <w:rsid w:val="6E6E0BD2"/>
    <w:rsid w:val="6E787E6D"/>
    <w:rsid w:val="6E846963"/>
    <w:rsid w:val="6EB6680B"/>
    <w:rsid w:val="6EEC237B"/>
    <w:rsid w:val="6F082DD5"/>
    <w:rsid w:val="6F221057"/>
    <w:rsid w:val="6F291EEA"/>
    <w:rsid w:val="6F3129FD"/>
    <w:rsid w:val="6F570827"/>
    <w:rsid w:val="6F63000B"/>
    <w:rsid w:val="6F765A86"/>
    <w:rsid w:val="6F7FC4DA"/>
    <w:rsid w:val="6FCE3512"/>
    <w:rsid w:val="6FEA24DA"/>
    <w:rsid w:val="6FFF2D83"/>
    <w:rsid w:val="70023460"/>
    <w:rsid w:val="701A47EF"/>
    <w:rsid w:val="70DA64AD"/>
    <w:rsid w:val="70EC042A"/>
    <w:rsid w:val="71A52B5D"/>
    <w:rsid w:val="71F40E38"/>
    <w:rsid w:val="730C5156"/>
    <w:rsid w:val="732452B0"/>
    <w:rsid w:val="735A4347"/>
    <w:rsid w:val="7379604F"/>
    <w:rsid w:val="737D05E6"/>
    <w:rsid w:val="73A4009E"/>
    <w:rsid w:val="73BE7F06"/>
    <w:rsid w:val="73DB0AB8"/>
    <w:rsid w:val="744E5768"/>
    <w:rsid w:val="74BD1F21"/>
    <w:rsid w:val="74BF1CC4"/>
    <w:rsid w:val="74C432FA"/>
    <w:rsid w:val="74E044A9"/>
    <w:rsid w:val="755842F0"/>
    <w:rsid w:val="75A173C5"/>
    <w:rsid w:val="75A75BE7"/>
    <w:rsid w:val="75BF6FEC"/>
    <w:rsid w:val="75CC7BB9"/>
    <w:rsid w:val="75EA4FE2"/>
    <w:rsid w:val="760A04D7"/>
    <w:rsid w:val="7614205F"/>
    <w:rsid w:val="76393C5C"/>
    <w:rsid w:val="763F67C0"/>
    <w:rsid w:val="76D52255"/>
    <w:rsid w:val="76E539FB"/>
    <w:rsid w:val="773F0D45"/>
    <w:rsid w:val="775F57F0"/>
    <w:rsid w:val="776E2C70"/>
    <w:rsid w:val="778F4537"/>
    <w:rsid w:val="77A26CE9"/>
    <w:rsid w:val="77AB3A64"/>
    <w:rsid w:val="78034139"/>
    <w:rsid w:val="781E0F73"/>
    <w:rsid w:val="782A7918"/>
    <w:rsid w:val="78350138"/>
    <w:rsid w:val="78AC47D1"/>
    <w:rsid w:val="78CD2A29"/>
    <w:rsid w:val="790B26DB"/>
    <w:rsid w:val="793F3EAA"/>
    <w:rsid w:val="79780B57"/>
    <w:rsid w:val="79C47BB2"/>
    <w:rsid w:val="7A459B02"/>
    <w:rsid w:val="7A4D39CA"/>
    <w:rsid w:val="7A4D5763"/>
    <w:rsid w:val="7A846E66"/>
    <w:rsid w:val="7B450F0D"/>
    <w:rsid w:val="7B5DF07A"/>
    <w:rsid w:val="7BA44BAE"/>
    <w:rsid w:val="7C3F2687"/>
    <w:rsid w:val="7C6F2DB4"/>
    <w:rsid w:val="7CA91B14"/>
    <w:rsid w:val="7CFF9931"/>
    <w:rsid w:val="7D105EF2"/>
    <w:rsid w:val="7D146DB4"/>
    <w:rsid w:val="7D887A92"/>
    <w:rsid w:val="7D8B8EE9"/>
    <w:rsid w:val="7D8F1690"/>
    <w:rsid w:val="7E12157A"/>
    <w:rsid w:val="7E355268"/>
    <w:rsid w:val="7E9059CF"/>
    <w:rsid w:val="7EBA3625"/>
    <w:rsid w:val="7EDF44EA"/>
    <w:rsid w:val="7F2226B9"/>
    <w:rsid w:val="7F345520"/>
    <w:rsid w:val="7F7D6F1A"/>
    <w:rsid w:val="7F7FF87B"/>
    <w:rsid w:val="7FA199B6"/>
    <w:rsid w:val="7FDD5366"/>
    <w:rsid w:val="7FEBA267"/>
    <w:rsid w:val="7FF3AFB4"/>
    <w:rsid w:val="7FF7CFF0"/>
    <w:rsid w:val="7FFF3D4B"/>
    <w:rsid w:val="9ABEE221"/>
    <w:rsid w:val="9DFE5D06"/>
    <w:rsid w:val="AFB3EDE6"/>
    <w:rsid w:val="B33977C2"/>
    <w:rsid w:val="B5BF5D2E"/>
    <w:rsid w:val="B7DFAF43"/>
    <w:rsid w:val="B7FFC820"/>
    <w:rsid w:val="BABBC11F"/>
    <w:rsid w:val="BBF03C87"/>
    <w:rsid w:val="BBFFA58E"/>
    <w:rsid w:val="BCF9D6F0"/>
    <w:rsid w:val="BDFFA996"/>
    <w:rsid w:val="BF53DD07"/>
    <w:rsid w:val="BFBB357D"/>
    <w:rsid w:val="BFCB6696"/>
    <w:rsid w:val="BFFF8953"/>
    <w:rsid w:val="CBDF75C0"/>
    <w:rsid w:val="CD6F6A2D"/>
    <w:rsid w:val="D0ECAD37"/>
    <w:rsid w:val="D3AEED0B"/>
    <w:rsid w:val="DABBE861"/>
    <w:rsid w:val="DBEF3D77"/>
    <w:rsid w:val="DBFF08E5"/>
    <w:rsid w:val="DEEFAEB5"/>
    <w:rsid w:val="DFAFFE9E"/>
    <w:rsid w:val="DFEBEFB0"/>
    <w:rsid w:val="E71756DA"/>
    <w:rsid w:val="EABBB394"/>
    <w:rsid w:val="EFEFD8AF"/>
    <w:rsid w:val="EFFE8B1C"/>
    <w:rsid w:val="F29F7AA4"/>
    <w:rsid w:val="F3B9039A"/>
    <w:rsid w:val="F4C238D4"/>
    <w:rsid w:val="F65C6104"/>
    <w:rsid w:val="F6790AB8"/>
    <w:rsid w:val="F696D5D8"/>
    <w:rsid w:val="F7C61A75"/>
    <w:rsid w:val="F7FF282B"/>
    <w:rsid w:val="F7FF88D2"/>
    <w:rsid w:val="F7FF8EE2"/>
    <w:rsid w:val="F8FE6F27"/>
    <w:rsid w:val="FA7A8F66"/>
    <w:rsid w:val="FAD7656B"/>
    <w:rsid w:val="FAF69E29"/>
    <w:rsid w:val="FAFBBA06"/>
    <w:rsid w:val="FBD95C81"/>
    <w:rsid w:val="FBFFF255"/>
    <w:rsid w:val="FCDF3E41"/>
    <w:rsid w:val="FE5FBB7A"/>
    <w:rsid w:val="FF5E391B"/>
    <w:rsid w:val="FF7F5A81"/>
    <w:rsid w:val="FFD77C08"/>
    <w:rsid w:val="FFF949E2"/>
    <w:rsid w:val="FFFF5E54"/>
    <w:rsid w:val="FFFFAE5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0"/>
    <w:pPr>
      <w:spacing w:beforeAutospacing="1" w:afterAutospacing="1"/>
      <w:jc w:val="left"/>
      <w:outlineLvl w:val="0"/>
    </w:pPr>
    <w:rPr>
      <w:rFonts w:hint="eastAsia" w:ascii="宋体" w:hAnsi="宋体"/>
      <w:b/>
      <w:bCs/>
      <w:kern w:val="44"/>
      <w:sz w:val="48"/>
      <w:szCs w:val="48"/>
    </w:rPr>
  </w:style>
  <w:style w:type="paragraph" w:styleId="3">
    <w:name w:val="heading 2"/>
    <w:basedOn w:val="1"/>
    <w:next w:val="1"/>
    <w:qFormat/>
    <w:uiPriority w:val="9"/>
    <w:pPr>
      <w:keepNext/>
      <w:keepLines/>
      <w:numPr>
        <w:ilvl w:val="1"/>
        <w:numId w:val="1"/>
      </w:numPr>
      <w:outlineLvl w:val="1"/>
    </w:pPr>
    <w:rPr>
      <w:rFonts w:ascii="Calibri Light" w:hAnsi="Calibri Light"/>
      <w:b/>
      <w:bCs/>
      <w:sz w:val="32"/>
      <w:szCs w:val="32"/>
    </w:rPr>
  </w:style>
  <w:style w:type="paragraph" w:styleId="4">
    <w:name w:val="heading 4"/>
    <w:basedOn w:val="1"/>
    <w:next w:val="1"/>
    <w:qFormat/>
    <w:uiPriority w:val="9"/>
    <w:pPr>
      <w:keepNext/>
      <w:keepLines/>
      <w:spacing w:line="374" w:lineRule="auto"/>
      <w:outlineLvl w:val="3"/>
    </w:pPr>
    <w:rPr>
      <w:rFonts w:ascii="Arial" w:hAnsi="Arial" w:eastAsia="黑体"/>
      <w:b/>
      <w:bCs/>
      <w:szCs w:val="28"/>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Body Text"/>
    <w:basedOn w:val="1"/>
    <w:next w:val="1"/>
    <w:qFormat/>
    <w:uiPriority w:val="0"/>
    <w:pPr>
      <w:spacing w:after="120"/>
    </w:pPr>
  </w:style>
  <w:style w:type="paragraph" w:styleId="7">
    <w:name w:val="Plain Text"/>
    <w:basedOn w:val="1"/>
    <w:unhideWhenUsed/>
    <w:qFormat/>
    <w:uiPriority w:val="99"/>
    <w:rPr>
      <w:rFonts w:ascii="宋体" w:hAnsi="Courier New" w:cs="Courier New"/>
      <w:szCs w:val="21"/>
    </w:rPr>
  </w:style>
  <w:style w:type="paragraph" w:styleId="8">
    <w:name w:val="Balloon Text"/>
    <w:basedOn w:val="1"/>
    <w:link w:val="21"/>
    <w:qFormat/>
    <w:uiPriority w:val="0"/>
    <w:rPr>
      <w:sz w:val="18"/>
      <w:szCs w:val="18"/>
    </w:r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toc 1"/>
    <w:basedOn w:val="1"/>
    <w:next w:val="1"/>
    <w:qFormat/>
    <w:uiPriority w:val="0"/>
  </w:style>
  <w:style w:type="paragraph" w:styleId="12">
    <w:name w:val="Normal (Web)"/>
    <w:basedOn w:val="1"/>
    <w:unhideWhenUsed/>
    <w:qFormat/>
    <w:uiPriority w:val="99"/>
    <w:pPr>
      <w:spacing w:before="100" w:beforeAutospacing="1" w:after="100" w:afterAutospacing="1"/>
      <w:jc w:val="left"/>
    </w:pPr>
    <w:rPr>
      <w:rFonts w:ascii="宋体" w:hAnsi="宋体" w:cs="宋体"/>
      <w:kern w:val="0"/>
      <w:sz w:val="24"/>
    </w:rPr>
  </w:style>
  <w:style w:type="paragraph" w:styleId="13">
    <w:name w:val="Body Text First Indent"/>
    <w:basedOn w:val="6"/>
    <w:qFormat/>
    <w:uiPriority w:val="0"/>
    <w:pPr>
      <w:ind w:firstLine="100" w:firstLineChars="100"/>
    </w:p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qFormat/>
    <w:uiPriority w:val="0"/>
    <w:rPr>
      <w:b/>
    </w:rPr>
  </w:style>
  <w:style w:type="character" w:styleId="18">
    <w:name w:val="annotation reference"/>
    <w:basedOn w:val="16"/>
    <w:qFormat/>
    <w:uiPriority w:val="0"/>
    <w:rPr>
      <w:sz w:val="21"/>
      <w:szCs w:val="21"/>
    </w:rPr>
  </w:style>
  <w:style w:type="character" w:customStyle="1" w:styleId="19">
    <w:name w:val="font61"/>
    <w:qFormat/>
    <w:uiPriority w:val="0"/>
    <w:rPr>
      <w:rFonts w:hint="eastAsia" w:ascii="宋体" w:hAnsi="宋体" w:eastAsia="宋体" w:cs="宋体"/>
      <w:color w:val="000000"/>
      <w:sz w:val="22"/>
      <w:szCs w:val="22"/>
      <w:u w:val="none"/>
    </w:rPr>
  </w:style>
  <w:style w:type="paragraph" w:customStyle="1" w:styleId="20">
    <w:name w:val="WPSOffice手动目录 1"/>
    <w:qFormat/>
    <w:uiPriority w:val="0"/>
    <w:rPr>
      <w:rFonts w:ascii="Calibri" w:hAnsi="Calibri" w:eastAsia="宋体" w:cs="Times New Roman"/>
      <w:lang w:val="en-US" w:eastAsia="zh-CN" w:bidi="ar-SA"/>
    </w:rPr>
  </w:style>
  <w:style w:type="character" w:customStyle="1" w:styleId="21">
    <w:name w:val="批注框文本 Char"/>
    <w:basedOn w:val="16"/>
    <w:link w:val="8"/>
    <w:qFormat/>
    <w:uiPriority w:val="0"/>
    <w:rPr>
      <w:rFonts w:ascii="Calibri" w:hAnsi="Calibr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numbering" Target="numbering.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30</Pages>
  <Words>3792</Words>
  <Characters>3891</Characters>
  <Lines>258</Lines>
  <Paragraphs>72</Paragraphs>
  <TotalTime>10</TotalTime>
  <ScaleCrop>false</ScaleCrop>
  <LinksUpToDate>false</LinksUpToDate>
  <CharactersWithSpaces>3955</CharactersWithSpaces>
  <Application>WPS Office_11.8.2.10624_F1E327BC-269C-435d-A152-05C5408002CA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2024-12-11T19:19:00Z</dcterms:created>
  <dc:creator>Administrator</dc:creator>
  <cp:lastModifiedBy>ysgz</cp:lastModifiedBy>
  <cp:lastPrinted>2025-01-01T06:27:00Z</cp:lastPrinted>
  <dcterms:modified xsi:type="dcterms:W3CDTF">2025-01-01T09:56:18Z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2052-11.8.2.10624</vt:lpwstr>
  </property>
  <property fmtid="{D5CDD505-2E9C-101B-9397-08002B2CF9AE}" pid="3" name="ICV">
    <vt:lpwstr>F8A3F6FC11434B519B3B4CFC10616D61_13</vt:lpwstr>
  </property>
</Properties>
</file>