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Autospacing="0" w:afterAutospacing="0" w:line="54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榕江工业园</w:t>
      </w:r>
      <w:r>
        <w:rPr>
          <w:rFonts w:hint="eastAsia" w:ascii="Times New Roman" w:hAnsi="Times New Roman" w:eastAsia="方正小标宋简体"/>
          <w:color w:val="000000" w:themeColor="text1"/>
          <w:sz w:val="44"/>
          <w:szCs w:val="44"/>
          <w14:textFill>
            <w14:solidFill>
              <w14:schemeClr w14:val="tx1"/>
            </w14:solidFill>
          </w14:textFill>
        </w:rPr>
        <w:t>区202</w:t>
      </w:r>
      <w:r>
        <w:rPr>
          <w:rFonts w:hint="eastAsia" w:ascii="Times New Roman" w:hAnsi="Times New Roman" w:eastAsia="方正小标宋简体"/>
          <w:color w:val="000000" w:themeColor="text1"/>
          <w:sz w:val="44"/>
          <w:szCs w:val="44"/>
          <w:lang w:val="en-US" w:eastAsia="zh-CN"/>
          <w14:textFill>
            <w14:solidFill>
              <w14:schemeClr w14:val="tx1"/>
            </w14:solidFill>
          </w14:textFill>
        </w:rPr>
        <w:t>2</w:t>
      </w:r>
      <w:r>
        <w:rPr>
          <w:rFonts w:hint="eastAsia" w:ascii="Times New Roman" w:hAnsi="Times New Roman" w:eastAsia="方正小标宋简体"/>
          <w:color w:val="000000" w:themeColor="text1"/>
          <w:sz w:val="44"/>
          <w:szCs w:val="44"/>
          <w14:textFill>
            <w14:solidFill>
              <w14:schemeClr w14:val="tx1"/>
            </w14:solidFill>
          </w14:textFill>
        </w:rPr>
        <w:t>年</w:t>
      </w:r>
      <w:r>
        <w:rPr>
          <w:rFonts w:hint="eastAsia" w:ascii="Times New Roman" w:hAnsi="Times New Roman" w:eastAsia="方正小标宋简体"/>
          <w:sz w:val="44"/>
          <w:szCs w:val="44"/>
        </w:rPr>
        <w:t>度部门整体支出</w:t>
      </w:r>
    </w:p>
    <w:p>
      <w:pPr>
        <w:pStyle w:val="8"/>
        <w:spacing w:beforeAutospacing="0" w:afterAutospacing="0"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 xml:space="preserve">绩效自评报告 </w:t>
      </w:r>
    </w:p>
    <w:p>
      <w:pPr>
        <w:widowControl/>
        <w:shd w:val="clear" w:color="auto" w:fill="FFFFFF"/>
        <w:snapToGrid w:val="0"/>
        <w:spacing w:line="540" w:lineRule="exact"/>
        <w:contextualSpacing/>
        <w:rPr>
          <w:rFonts w:ascii="宋体" w:hAnsi="宋体" w:eastAsia="宋体" w:cs="宋体"/>
          <w:kern w:val="0"/>
          <w:sz w:val="24"/>
          <w:szCs w:val="24"/>
        </w:rPr>
      </w:pPr>
      <w:r>
        <w:rPr>
          <w:rFonts w:hint="eastAsia" w:ascii="宋体" w:hAnsi="宋体" w:eastAsia="宋体" w:cs="宋体"/>
          <w:kern w:val="0"/>
          <w:sz w:val="24"/>
          <w:szCs w:val="24"/>
        </w:rPr>
        <w:t>　　</w:t>
      </w:r>
    </w:p>
    <w:p>
      <w:pPr>
        <w:pStyle w:val="4"/>
      </w:pPr>
    </w:p>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根据《关于开展202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年预算绩效自评工作的通知》（榕财绩〔202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号）及绩效管理工作相关要求，我单位高度重视并对202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年整体支出情况进行绩效自评，现将自评情况报告如下：</w:t>
      </w:r>
    </w:p>
    <w:p>
      <w:pPr>
        <w:widowControl/>
        <w:shd w:val="clear" w:color="auto" w:fill="FFFFFF"/>
        <w:snapToGrid w:val="0"/>
        <w:spacing w:line="540" w:lineRule="exact"/>
        <w:ind w:firstLine="640" w:firstLineChars="200"/>
        <w:contextualSpacing/>
        <w:rPr>
          <w:rFonts w:ascii="黑体" w:hAnsi="黑体" w:eastAsia="黑体" w:cs="宋体"/>
          <w:b/>
          <w:kern w:val="0"/>
          <w:sz w:val="32"/>
          <w:szCs w:val="32"/>
        </w:rPr>
      </w:pPr>
      <w:r>
        <w:rPr>
          <w:rFonts w:hint="eastAsia" w:ascii="黑体" w:hAnsi="黑体" w:eastAsia="黑体" w:cs="Times New Roman"/>
          <w:bCs/>
          <w:kern w:val="0"/>
          <w:sz w:val="32"/>
          <w:szCs w:val="32"/>
        </w:rPr>
        <w:t>一、部门概况</w:t>
      </w:r>
    </w:p>
    <w:p>
      <w:pPr>
        <w:widowControl/>
        <w:shd w:val="clear" w:color="auto" w:fill="FFFFFF"/>
        <w:snapToGrid w:val="0"/>
        <w:spacing w:line="540" w:lineRule="exact"/>
        <w:ind w:firstLine="640" w:firstLineChars="200"/>
        <w:contextualSpacing/>
        <w:rPr>
          <w:rFonts w:ascii="Times New Roman" w:hAnsi="Times New Roman" w:eastAsia="楷体_GB2312" w:cs="Times New Roman"/>
          <w:bCs/>
          <w:kern w:val="0"/>
          <w:sz w:val="32"/>
          <w:szCs w:val="32"/>
        </w:rPr>
      </w:pPr>
      <w:r>
        <w:rPr>
          <w:rFonts w:hint="eastAsia" w:ascii="Times New Roman" w:hAnsi="Times New Roman" w:eastAsia="楷体_GB2312" w:cs="Times New Roman"/>
          <w:bCs/>
          <w:kern w:val="0"/>
          <w:sz w:val="32"/>
          <w:szCs w:val="32"/>
        </w:rPr>
        <w:t>(一)基本情况</w:t>
      </w:r>
    </w:p>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榕江工业园区管理委员会（以下简称园区）成立于2011年6月。</w:t>
      </w:r>
    </w:p>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.部门职能职责。园区是榕江县人民政府派出正科级</w:t>
      </w:r>
      <w:r>
        <w:rPr>
          <w:rFonts w:hint="eastAsia" w:ascii="仿宋_GB2312" w:hAnsi="Times New Roman" w:eastAsia="仿宋_GB2312" w:cs="Times New Roman"/>
          <w:sz w:val="32"/>
          <w:szCs w:val="32"/>
          <w:lang w:val="en-US" w:eastAsia="zh-CN"/>
        </w:rPr>
        <w:t>机关</w:t>
      </w:r>
      <w:r>
        <w:rPr>
          <w:rFonts w:hint="eastAsia" w:ascii="仿宋_GB2312" w:hAnsi="Times New Roman" w:eastAsia="仿宋_GB2312" w:cs="Times New Roman"/>
          <w:sz w:val="32"/>
          <w:szCs w:val="32"/>
        </w:rPr>
        <w:t>工作部门，主要履行以下职能职责：</w:t>
      </w:r>
    </w:p>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1）贯彻落实国家、省、州方针政策及法律法规，拟订并组织实施园区发展规划、战略和政策。（2）推进园区产业结构调整和优化升级，推进信息化与工业化融合。（3）推进园区体系建设、体制改革、管理创新、技术创新，开展园区对外合作与交流。（4）解决园区运行中问题并提出政策或建议，负责园区产业安全、环境保护、营商环境和应急工作管理等。（5）负责园区党务、人事、机构编制、纪律检查和党风廉政工作。（6）完成县委、县政府交办的其他工作。</w:t>
      </w:r>
    </w:p>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.部门机构设置及在职人员情况。工业园区管理委员会内设有综合事务服务中心、企业服务中心、招商引资服务中心、纪检监察保障服务中心。行政编制岗位5个，在岗人员4人；事业编制3</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名，编随人走，直至减到20个编制岗位。202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年年末共有在职职工人员3</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人，比上年</w:t>
      </w:r>
      <w:r>
        <w:rPr>
          <w:rFonts w:hint="eastAsia" w:ascii="仿宋_GB2312" w:hAnsi="Times New Roman" w:eastAsia="仿宋_GB2312" w:cs="Times New Roman"/>
          <w:sz w:val="32"/>
          <w:szCs w:val="32"/>
          <w:lang w:val="en-US" w:eastAsia="zh-CN"/>
        </w:rPr>
        <w:t>减少4</w:t>
      </w:r>
      <w:r>
        <w:rPr>
          <w:rFonts w:hint="eastAsia" w:ascii="仿宋_GB2312" w:hAnsi="Times New Roman" w:eastAsia="仿宋_GB2312" w:cs="Times New Roman"/>
          <w:sz w:val="32"/>
          <w:szCs w:val="32"/>
        </w:rPr>
        <w:t>人，调出</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人</w:t>
      </w:r>
      <w:r>
        <w:rPr>
          <w:rFonts w:hint="eastAsia" w:ascii="仿宋_GB2312" w:hAnsi="Times New Roman" w:eastAsia="仿宋_GB2312" w:cs="Times New Roman"/>
          <w:sz w:val="32"/>
          <w:szCs w:val="32"/>
          <w:lang w:val="en-US" w:eastAsia="zh-CN"/>
        </w:rPr>
        <w:t>,调入1人</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退休</w:t>
      </w:r>
      <w:r>
        <w:rPr>
          <w:rFonts w:hint="eastAsia" w:ascii="仿宋_GB2312" w:hAnsi="Times New Roman" w:eastAsia="仿宋_GB2312" w:cs="Times New Roman"/>
          <w:sz w:val="32"/>
          <w:szCs w:val="32"/>
        </w:rPr>
        <w:t>1人）。</w:t>
      </w:r>
    </w:p>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园区中长期规划。坚持“工业强县”战略不动摇，用好工业园区发展平台，大力实施产业发展提升行动，坚定不移做大总量、提升质量，推动工业高质量发展。建成“一首二重三辅”产业体系，以林产品深加工为首位产业，重点打造生态特色农产品和民族医药产业，以电子信息、优越轻工和民族工艺品为辅助产业。到2025年，力争规模以上工业企业60家，主营业务收入过亿元企业10户，工业产</w:t>
      </w:r>
      <w:r>
        <w:rPr>
          <w:rFonts w:hint="eastAsia" w:ascii="仿宋_GB2312" w:hAnsi="Times New Roman" w:eastAsia="仿宋_GB2312" w:cs="Times New Roman"/>
          <w:sz w:val="32"/>
          <w:szCs w:val="32"/>
          <w:lang w:val="en-US" w:eastAsia="zh-CN"/>
        </w:rPr>
        <w:t>值</w:t>
      </w:r>
      <w:r>
        <w:rPr>
          <w:rFonts w:hint="eastAsia" w:ascii="仿宋_GB2312" w:hAnsi="Times New Roman" w:eastAsia="仿宋_GB2312" w:cs="Times New Roman"/>
          <w:sz w:val="32"/>
          <w:szCs w:val="32"/>
        </w:rPr>
        <w:t>达百亿以上，力争“十四五”期间上市企业零突破。</w:t>
      </w:r>
    </w:p>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4</w:t>
      </w:r>
      <w:bookmarkStart w:id="0" w:name="_GoBack"/>
      <w:bookmarkEnd w:id="0"/>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年工作计划。主要围绕完成规模以上企业入库任务数、园区工业总产值目标、规模企业年</w:t>
      </w:r>
      <w:r>
        <w:rPr>
          <w:rFonts w:ascii="仿宋_GB2312" w:hAnsi="Times New Roman" w:eastAsia="仿宋_GB2312" w:cs="Times New Roman"/>
          <w:sz w:val="32"/>
          <w:szCs w:val="32"/>
        </w:rPr>
        <w:t>增加值</w:t>
      </w:r>
      <w:r>
        <w:rPr>
          <w:rFonts w:hint="eastAsia" w:ascii="仿宋_GB2312" w:hAnsi="Times New Roman" w:eastAsia="仿宋_GB2312" w:cs="Times New Roman"/>
          <w:sz w:val="32"/>
          <w:szCs w:val="32"/>
        </w:rPr>
        <w:t>指标，新增规模企业数，工业投资额和入园企业签约资金和到位资金，税收任务，解决与带动新增就业人数</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000人；项目建设以园区基建为主</w:t>
      </w:r>
      <w:r>
        <w:rPr>
          <w:rFonts w:hint="eastAsia" w:ascii="仿宋_GB2312" w:hAnsi="Times New Roman" w:eastAsia="仿宋_GB2312" w:cs="Times New Roman"/>
          <w:sz w:val="32"/>
          <w:szCs w:val="32"/>
          <w:lang w:eastAsia="zh-CN"/>
        </w:rPr>
        <w:t>，</w:t>
      </w:r>
      <w:r>
        <w:rPr>
          <w:rFonts w:ascii="仿宋_GB2312" w:hAnsi="Times New Roman" w:eastAsia="仿宋_GB2312" w:cs="Times New Roman"/>
          <w:b/>
          <w:bCs/>
          <w:sz w:val="32"/>
          <w:szCs w:val="32"/>
        </w:rPr>
        <w:t>一是</w:t>
      </w:r>
      <w:r>
        <w:rPr>
          <w:rFonts w:ascii="仿宋_GB2312" w:hAnsi="Times New Roman" w:eastAsia="仿宋_GB2312" w:cs="Times New Roman"/>
          <w:sz w:val="32"/>
          <w:szCs w:val="32"/>
        </w:rPr>
        <w:t>完成</w:t>
      </w:r>
      <w:r>
        <w:rPr>
          <w:rFonts w:hint="eastAsia" w:ascii="仿宋_GB2312" w:hAnsi="Times New Roman" w:eastAsia="仿宋_GB2312" w:cs="Times New Roman"/>
          <w:sz w:val="32"/>
          <w:szCs w:val="32"/>
        </w:rPr>
        <w:t>规划</w:t>
      </w:r>
      <w:r>
        <w:rPr>
          <w:rFonts w:ascii="仿宋_GB2312" w:hAnsi="Times New Roman" w:eastAsia="仿宋_GB2312" w:cs="Times New Roman"/>
          <w:sz w:val="32"/>
          <w:szCs w:val="32"/>
        </w:rPr>
        <w:t>榕江县</w:t>
      </w:r>
      <w:r>
        <w:rPr>
          <w:rFonts w:hint="eastAsia" w:ascii="仿宋_GB2312" w:hAnsi="Times New Roman" w:eastAsia="仿宋_GB2312" w:cs="Times New Roman"/>
          <w:sz w:val="32"/>
          <w:szCs w:val="32"/>
        </w:rPr>
        <w:t>木材产业园区规划及一期建设，</w:t>
      </w:r>
      <w:r>
        <w:rPr>
          <w:rFonts w:ascii="仿宋_GB2312" w:hAnsi="Times New Roman" w:eastAsia="仿宋_GB2312" w:cs="Times New Roman"/>
          <w:sz w:val="32"/>
          <w:szCs w:val="32"/>
        </w:rPr>
        <w:t>冷链物流项目用地规划选址工作，项目选址于榕江县工业园区返乡创业园北侧，邻东一环道路，项目占地面积约60亩</w:t>
      </w:r>
      <w:r>
        <w:rPr>
          <w:rFonts w:hint="eastAsia" w:ascii="仿宋_GB2312" w:hAnsi="Times New Roman" w:eastAsia="仿宋_GB2312" w:cs="Times New Roman"/>
          <w:sz w:val="32"/>
          <w:szCs w:val="32"/>
          <w:lang w:eastAsia="zh-CN"/>
        </w:rPr>
        <w:t>；</w:t>
      </w:r>
      <w:r>
        <w:rPr>
          <w:rFonts w:ascii="仿宋_GB2312" w:hAnsi="Times New Roman" w:eastAsia="仿宋_GB2312" w:cs="Times New Roman"/>
          <w:b/>
          <w:bCs/>
          <w:sz w:val="32"/>
          <w:szCs w:val="32"/>
        </w:rPr>
        <w:t>二是</w:t>
      </w:r>
      <w:r>
        <w:rPr>
          <w:rFonts w:ascii="仿宋_GB2312" w:hAnsi="Times New Roman" w:eastAsia="仿宋_GB2312" w:cs="Times New Roman"/>
          <w:sz w:val="32"/>
          <w:szCs w:val="32"/>
        </w:rPr>
        <w:t>完成榕江县活禽屠宰场项目的用地规划选址工作，该项目选址于东一环道路东侧，总占地面积约30亩</w:t>
      </w:r>
      <w:r>
        <w:rPr>
          <w:rFonts w:hint="eastAsia" w:ascii="仿宋_GB2312" w:hAnsi="Times New Roman" w:eastAsia="仿宋_GB2312" w:cs="Times New Roman"/>
          <w:sz w:val="32"/>
          <w:szCs w:val="32"/>
          <w:lang w:eastAsia="zh-CN"/>
        </w:rPr>
        <w:t>；</w:t>
      </w:r>
      <w:r>
        <w:rPr>
          <w:rFonts w:ascii="仿宋_GB2312" w:hAnsi="Times New Roman" w:eastAsia="仿宋_GB2312" w:cs="Times New Roman"/>
          <w:b/>
          <w:bCs/>
          <w:sz w:val="32"/>
          <w:szCs w:val="32"/>
        </w:rPr>
        <w:t>三是</w:t>
      </w:r>
      <w:r>
        <w:rPr>
          <w:rFonts w:ascii="仿宋_GB2312" w:hAnsi="Times New Roman" w:eastAsia="仿宋_GB2312" w:cs="Times New Roman"/>
          <w:sz w:val="32"/>
          <w:szCs w:val="32"/>
        </w:rPr>
        <w:t>完成榕江县30万吨环保型沥青混凝土拌合站项目选址工作，该项目选址于仁育片区垮龙坡，用地面积约15.6亩</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b/>
          <w:bCs/>
          <w:sz w:val="32"/>
          <w:szCs w:val="32"/>
        </w:rPr>
        <w:t>四</w:t>
      </w:r>
      <w:r>
        <w:rPr>
          <w:rFonts w:ascii="仿宋_GB2312" w:hAnsi="Times New Roman" w:eastAsia="仿宋_GB2312" w:cs="Times New Roman"/>
          <w:b/>
          <w:bCs/>
          <w:sz w:val="32"/>
          <w:szCs w:val="32"/>
        </w:rPr>
        <w:t>是</w:t>
      </w:r>
      <w:r>
        <w:rPr>
          <w:rFonts w:ascii="仿宋_GB2312" w:hAnsi="Times New Roman" w:eastAsia="仿宋_GB2312" w:cs="Times New Roman"/>
          <w:sz w:val="32"/>
          <w:szCs w:val="32"/>
        </w:rPr>
        <w:t>完成榕江县工业园区王岭标准化厂房项目，完成总投资约1500万元；</w:t>
      </w:r>
      <w:r>
        <w:rPr>
          <w:rFonts w:hint="eastAsia" w:ascii="仿宋_GB2312" w:hAnsi="Times New Roman" w:eastAsia="仿宋_GB2312" w:cs="Times New Roman"/>
          <w:b/>
          <w:bCs/>
          <w:sz w:val="32"/>
          <w:szCs w:val="32"/>
        </w:rPr>
        <w:t>五</w:t>
      </w:r>
      <w:r>
        <w:rPr>
          <w:rFonts w:ascii="仿宋_GB2312" w:hAnsi="Times New Roman" w:eastAsia="仿宋_GB2312" w:cs="Times New Roman"/>
          <w:b/>
          <w:bCs/>
          <w:sz w:val="32"/>
          <w:szCs w:val="32"/>
        </w:rPr>
        <w:t>是</w:t>
      </w:r>
      <w:r>
        <w:rPr>
          <w:rFonts w:hint="eastAsia" w:ascii="仿宋_GB2312" w:hAnsi="Times New Roman" w:eastAsia="仿宋_GB2312" w:cs="Times New Roman"/>
          <w:sz w:val="32"/>
          <w:szCs w:val="32"/>
          <w:lang w:val="en-US" w:eastAsia="zh-CN"/>
        </w:rPr>
        <w:t>计划</w:t>
      </w:r>
      <w:r>
        <w:rPr>
          <w:rFonts w:ascii="仿宋_GB2312" w:hAnsi="Times New Roman" w:eastAsia="仿宋_GB2312" w:cs="Times New Roman"/>
          <w:sz w:val="32"/>
          <w:szCs w:val="32"/>
        </w:rPr>
        <w:t>完成榕江县2019-2020年“一县一业”产业扶贫项目建安工程建设、冷库设备和冷藏车的采购，完成总投资约3000万元</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其他重点工作是本工业园区</w:t>
      </w:r>
      <w:r>
        <w:rPr>
          <w:rFonts w:ascii="仿宋_GB2312" w:hAnsi="Times New Roman" w:eastAsia="仿宋_GB2312" w:cs="Times New Roman"/>
          <w:sz w:val="32"/>
          <w:szCs w:val="32"/>
        </w:rPr>
        <w:t>申报</w:t>
      </w:r>
      <w:r>
        <w:rPr>
          <w:rFonts w:hint="eastAsia" w:ascii="仿宋_GB2312" w:hAnsi="Times New Roman" w:eastAsia="仿宋_GB2312" w:cs="Times New Roman"/>
          <w:sz w:val="32"/>
          <w:szCs w:val="32"/>
          <w:lang w:val="en-US" w:eastAsia="zh-CN"/>
        </w:rPr>
        <w:t>升级为</w:t>
      </w:r>
      <w:r>
        <w:rPr>
          <w:rFonts w:ascii="仿宋_GB2312" w:hAnsi="Times New Roman" w:eastAsia="仿宋_GB2312" w:cs="Times New Roman"/>
          <w:sz w:val="32"/>
          <w:szCs w:val="32"/>
        </w:rPr>
        <w:t>省级经济开发区、特色产业园区</w:t>
      </w:r>
      <w:r>
        <w:rPr>
          <w:rFonts w:hint="eastAsia" w:ascii="仿宋_GB2312" w:hAnsi="Times New Roman" w:eastAsia="仿宋_GB2312" w:cs="Times New Roman"/>
          <w:sz w:val="32"/>
          <w:szCs w:val="32"/>
          <w:lang w:val="en-US" w:eastAsia="zh-CN"/>
        </w:rPr>
        <w:t>工作</w:t>
      </w:r>
      <w:r>
        <w:rPr>
          <w:rFonts w:hint="eastAsia" w:ascii="仿宋_GB2312" w:hAnsi="Times New Roman" w:eastAsia="仿宋_GB2312" w:cs="Times New Roman"/>
          <w:sz w:val="32"/>
          <w:szCs w:val="32"/>
        </w:rPr>
        <w:t>。</w:t>
      </w:r>
    </w:p>
    <w:p>
      <w:pPr>
        <w:widowControl/>
        <w:shd w:val="clear" w:color="auto" w:fill="FFFFFF"/>
        <w:snapToGrid w:val="0"/>
        <w:spacing w:line="540" w:lineRule="exact"/>
        <w:ind w:firstLine="640" w:firstLineChars="200"/>
        <w:contextualSpacing/>
        <w:rPr>
          <w:rFonts w:hint="eastAsia" w:ascii="Times New Roman" w:hAnsi="Times New Roman" w:eastAsia="楷体_GB2312" w:cs="Times New Roman"/>
          <w:bCs/>
          <w:kern w:val="0"/>
          <w:sz w:val="32"/>
          <w:szCs w:val="32"/>
        </w:rPr>
      </w:pPr>
      <w:r>
        <w:rPr>
          <w:rFonts w:hint="eastAsia" w:ascii="Times New Roman" w:hAnsi="Times New Roman" w:eastAsia="楷体_GB2312" w:cs="Times New Roman"/>
          <w:bCs/>
          <w:kern w:val="0"/>
          <w:sz w:val="32"/>
          <w:szCs w:val="32"/>
        </w:rPr>
        <w:t>（二）</w:t>
      </w:r>
      <w:r>
        <w:rPr>
          <w:rFonts w:hint="eastAsia" w:ascii="Times New Roman" w:hAnsi="Times New Roman" w:eastAsia="楷体_GB2312" w:cs="Times New Roman"/>
          <w:bCs/>
          <w:kern w:val="0"/>
          <w:sz w:val="32"/>
          <w:szCs w:val="32"/>
          <w:lang w:val="en-US" w:eastAsia="zh-CN"/>
        </w:rPr>
        <w:t>年初预算</w:t>
      </w:r>
      <w:r>
        <w:rPr>
          <w:rFonts w:hint="eastAsia" w:ascii="Times New Roman" w:hAnsi="Times New Roman" w:eastAsia="楷体_GB2312" w:cs="Times New Roman"/>
          <w:bCs/>
          <w:kern w:val="0"/>
          <w:sz w:val="32"/>
          <w:szCs w:val="32"/>
        </w:rPr>
        <w:t>收</w:t>
      </w:r>
      <w:r>
        <w:rPr>
          <w:rFonts w:hint="eastAsia" w:ascii="Times New Roman" w:hAnsi="Times New Roman" w:eastAsia="楷体_GB2312" w:cs="Times New Roman"/>
          <w:bCs/>
          <w:kern w:val="0"/>
          <w:sz w:val="32"/>
          <w:szCs w:val="32"/>
          <w:lang w:val="en-US" w:eastAsia="zh-CN"/>
        </w:rPr>
        <w:t>入与预算执行</w:t>
      </w:r>
      <w:r>
        <w:rPr>
          <w:rFonts w:hint="eastAsia" w:ascii="Times New Roman" w:hAnsi="Times New Roman" w:eastAsia="楷体_GB2312" w:cs="Times New Roman"/>
          <w:bCs/>
          <w:kern w:val="0"/>
          <w:sz w:val="32"/>
          <w:szCs w:val="32"/>
        </w:rPr>
        <w:t>情况</w:t>
      </w:r>
    </w:p>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1.收入支出预算安排情况。根据《榕江县财政局关于批复202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年部门预算的通知》（榕财预字〔2021〕</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号）下达我单位</w:t>
      </w:r>
      <w:r>
        <w:rPr>
          <w:rFonts w:hint="eastAsia" w:ascii="Times New Roman" w:hAnsi="Times New Roman" w:eastAsia="仿宋_GB2312" w:cs="Times New Roman"/>
          <w:color w:val="auto"/>
          <w:kern w:val="2"/>
          <w:sz w:val="32"/>
          <w:szCs w:val="32"/>
          <w:lang w:val="en-US" w:eastAsia="zh-CN" w:bidi="ar-SA"/>
        </w:rPr>
        <w:t>2022年财政拨款年初预算收入814.91万元，其中基本支出之人员经费和公用经费预算安排647.91万元，项目专项支出167万元。按支出功能科目明细分为:①一般公共服务支出-行政运行（代码2010301）343.88万元,占财政拨款总收入（下同）的42.20%；②一般公共服务支出-其他政府办公厅（室）及相关机构事务支出（代码2010399）167万元，占总收入的20.49%；③社会保障和就业支出-机关事业单位基本养老保险缴费支出（代码2080505）62.5万元，占总收入的7.67%；④社会保障和就业支出-其他残疾人事业支出（代码2081199）9.63万元，占总收入的1.18%；⑤医疗卫生与计划生育支出-行政单位医疗（代码2101101）190万元，占总收入的23.32%；⑥住房保障支出-住房公积金（代码2210201）41.9万元，占总收入的5.14%</w:t>
      </w:r>
      <w:r>
        <w:rPr>
          <w:rFonts w:hint="eastAsia" w:ascii="仿宋_GB2312" w:hAnsi="Times New Roman" w:eastAsia="仿宋_GB2312" w:cs="Times New Roman"/>
          <w:sz w:val="32"/>
          <w:szCs w:val="32"/>
        </w:rPr>
        <w:t>。</w:t>
      </w:r>
    </w:p>
    <w:p>
      <w:pPr>
        <w:widowControl/>
        <w:numPr>
          <w:ilvl w:val="0"/>
          <w:numId w:val="0"/>
        </w:numPr>
        <w:shd w:val="clear" w:color="auto" w:fill="FFFFFF"/>
        <w:snapToGrid w:val="0"/>
        <w:spacing w:line="540" w:lineRule="exact"/>
        <w:ind w:firstLine="640" w:firstLineChars="200"/>
        <w:contextualSpacing/>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2.本年财政拨款预算支出执行情况。本年财政拨款支出数5540229元，预算资金到位执行率67.99%。按经济分类明细如下：①工资福利支出4252205元，占财政拨款总支出（下同）的76.75%；②商品和服务支出739507元，占比13.35%；③对个人和家庭的补助支出7787元,占0.14%；④资本性支出：19550元，占总支出的0.35%；⑤对企业的补助521180元，占总支出的9.41%。</w:t>
      </w:r>
    </w:p>
    <w:p>
      <w:pPr>
        <w:widowControl/>
        <w:numPr>
          <w:ilvl w:val="0"/>
          <w:numId w:val="0"/>
        </w:numPr>
        <w:shd w:val="clear" w:color="auto" w:fill="FFFFFF"/>
        <w:snapToGrid w:val="0"/>
        <w:spacing w:line="540" w:lineRule="exact"/>
        <w:ind w:firstLine="640" w:firstLineChars="200"/>
        <w:contextualSpacing/>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1）预、决算差异情况及差异原因分析。本年部门财政拨款收入年初预算数（不含上年结转结余）8149100元，决算数5540229元，决算比预算减少2608871元，差异率为32.14%,主要原因是：①本年人员社保缴费年初预算数多出130多万元；② 本年其他政府办公厅（室）及相关机构事务专项业务支出指标有130万元因县级经费保障不到位，未能如期执行。</w:t>
      </w:r>
    </w:p>
    <w:p>
      <w:pPr>
        <w:widowControl/>
        <w:shd w:val="clear" w:color="auto" w:fill="FFFFFF"/>
        <w:snapToGrid w:val="0"/>
        <w:spacing w:line="540" w:lineRule="exact"/>
        <w:ind w:firstLine="640" w:firstLineChars="200"/>
        <w:contextualSpacing/>
        <w:rPr>
          <w:rFonts w:hint="eastAsia" w:ascii="Times New Roman" w:hAnsi="Times New Roman" w:eastAsia="楷体_GB2312" w:cs="Times New Roman"/>
          <w:bCs/>
          <w:kern w:val="0"/>
          <w:sz w:val="32"/>
          <w:szCs w:val="32"/>
        </w:rPr>
      </w:pPr>
      <w:r>
        <w:rPr>
          <w:rFonts w:hint="eastAsia" w:ascii="Times New Roman" w:hAnsi="Times New Roman" w:eastAsia="楷体_GB2312" w:cs="Times New Roman"/>
          <w:bCs/>
          <w:kern w:val="0"/>
          <w:sz w:val="32"/>
          <w:szCs w:val="32"/>
        </w:rPr>
        <w:t>（三）工作任务和绩效目标</w:t>
      </w:r>
    </w:p>
    <w:p>
      <w:pPr>
        <w:widowControl/>
        <w:shd w:val="clear" w:color="auto" w:fill="FFFFFF"/>
        <w:snapToGrid w:val="0"/>
        <w:spacing w:line="540" w:lineRule="exact"/>
        <w:ind w:firstLine="640" w:firstLineChars="200"/>
        <w:contextualSpacing/>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202</w:t>
      </w: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年部门履职工作任务和绩效目标主要包括：</w:t>
      </w:r>
    </w:p>
    <w:p>
      <w:pPr>
        <w:widowControl/>
        <w:numPr>
          <w:ilvl w:val="0"/>
          <w:numId w:val="0"/>
        </w:numPr>
        <w:shd w:val="clear" w:color="auto" w:fill="FFFFFF"/>
        <w:snapToGrid w:val="0"/>
        <w:spacing w:line="540" w:lineRule="exact"/>
        <w:ind w:firstLine="640" w:firstLineChars="200"/>
        <w:contextualSpacing/>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1.计划新招商8-12家企业，</w:t>
      </w:r>
      <w:r>
        <w:rPr>
          <w:rFonts w:hint="default" w:ascii="Times New Roman" w:hAnsi="Times New Roman" w:eastAsia="仿宋_GB2312" w:cs="Times New Roman"/>
          <w:color w:val="auto"/>
          <w:sz w:val="32"/>
          <w:szCs w:val="32"/>
          <w:lang w:val="en-US" w:eastAsia="zh-CN"/>
        </w:rPr>
        <w:t>解决直接就业人数5705人，净缴税款0.42亿元。</w:t>
      </w:r>
      <w:r>
        <w:rPr>
          <w:rFonts w:hint="default" w:ascii="Times New Roman" w:hAnsi="Times New Roman" w:eastAsia="仿宋_GB2312" w:cs="Times New Roman"/>
          <w:color w:val="auto"/>
          <w:sz w:val="32"/>
          <w:szCs w:val="32"/>
          <w:highlight w:val="none"/>
          <w:lang w:val="en-US" w:eastAsia="zh-CN"/>
        </w:rPr>
        <w:t>新增培育入库企业</w:t>
      </w:r>
      <w:r>
        <w:rPr>
          <w:rFonts w:hint="eastAsia" w:ascii="Times New Roman" w:hAnsi="Times New Roman" w:eastAsia="仿宋_GB2312" w:cs="Times New Roman"/>
          <w:color w:val="auto"/>
          <w:sz w:val="32"/>
          <w:szCs w:val="32"/>
          <w:highlight w:val="none"/>
          <w:lang w:val="en-US" w:eastAsia="zh-CN"/>
        </w:rPr>
        <w:t>11家</w:t>
      </w:r>
      <w:r>
        <w:rPr>
          <w:rFonts w:hint="eastAsia" w:ascii="仿宋_GB2312" w:hAnsi="Times New Roman" w:eastAsia="仿宋_GB2312" w:cs="Times New Roman"/>
          <w:color w:val="auto"/>
          <w:sz w:val="32"/>
          <w:szCs w:val="32"/>
        </w:rPr>
        <w:t>。新增就业岗位1</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00个，解决就业</w:t>
      </w:r>
      <w:r>
        <w:rPr>
          <w:rFonts w:hint="eastAsia" w:ascii="仿宋_GB2312" w:hAnsi="Times New Roman" w:eastAsia="仿宋_GB2312" w:cs="Times New Roman"/>
          <w:color w:val="auto"/>
          <w:sz w:val="32"/>
          <w:szCs w:val="32"/>
          <w:lang w:val="en-US" w:eastAsia="zh-CN"/>
        </w:rPr>
        <w:t>7000</w:t>
      </w:r>
      <w:r>
        <w:rPr>
          <w:rFonts w:hint="eastAsia" w:ascii="仿宋_GB2312" w:hAnsi="Times New Roman" w:eastAsia="仿宋_GB2312" w:cs="Times New Roman"/>
          <w:color w:val="auto"/>
          <w:sz w:val="32"/>
          <w:szCs w:val="32"/>
        </w:rPr>
        <w:t>人，带动就业近万人。</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2.</w:t>
      </w:r>
      <w:r>
        <w:rPr>
          <w:rFonts w:hint="default" w:ascii="仿宋_GB2312" w:hAnsi="Times New Roman" w:eastAsia="仿宋_GB2312" w:cs="Times New Roman"/>
          <w:color w:val="auto"/>
          <w:sz w:val="32"/>
          <w:szCs w:val="32"/>
          <w:lang w:val="en-US" w:eastAsia="zh-CN"/>
        </w:rPr>
        <w:t>加快项目建设进度。</w:t>
      </w:r>
      <w:r>
        <w:rPr>
          <w:rFonts w:hint="default" w:ascii="Times New Roman" w:hAnsi="Times New Roman" w:eastAsia="仿宋_GB2312" w:cs="Times New Roman"/>
          <w:b/>
          <w:bCs w:val="0"/>
          <w:color w:val="auto"/>
          <w:sz w:val="32"/>
          <w:szCs w:val="32"/>
          <w:highlight w:val="none"/>
          <w:lang w:eastAsia="zh-CN"/>
        </w:rPr>
        <w:t>一是</w:t>
      </w:r>
      <w:r>
        <w:rPr>
          <w:rFonts w:hint="default" w:ascii="Times New Roman" w:hAnsi="Times New Roman" w:eastAsia="仿宋_GB2312" w:cs="Times New Roman"/>
          <w:b w:val="0"/>
          <w:bCs w:val="0"/>
          <w:color w:val="auto"/>
          <w:sz w:val="32"/>
          <w:szCs w:val="32"/>
          <w:highlight w:val="none"/>
          <w:lang w:eastAsia="zh-CN"/>
        </w:rPr>
        <w:t>以申报</w:t>
      </w:r>
      <w:r>
        <w:rPr>
          <w:rFonts w:hint="default" w:ascii="Times New Roman" w:hAnsi="Times New Roman" w:eastAsia="仿宋_GB2312" w:cs="Times New Roman"/>
          <w:b w:val="0"/>
          <w:bCs w:val="0"/>
          <w:color w:val="auto"/>
          <w:sz w:val="32"/>
          <w:szCs w:val="32"/>
          <w:highlight w:val="none"/>
          <w:lang w:val="en-US" w:eastAsia="zh-CN"/>
        </w:rPr>
        <w:t>2021年专项债券资金项目为契机，</w:t>
      </w:r>
      <w:r>
        <w:rPr>
          <w:rFonts w:hint="default" w:ascii="Times New Roman" w:hAnsi="Times New Roman" w:eastAsia="仿宋_GB2312" w:cs="Times New Roman"/>
          <w:b w:val="0"/>
          <w:bCs w:val="0"/>
          <w:color w:val="auto"/>
          <w:sz w:val="32"/>
          <w:szCs w:val="32"/>
          <w:highlight w:val="none"/>
          <w:lang w:eastAsia="zh-CN"/>
        </w:rPr>
        <w:t>加快</w:t>
      </w:r>
      <w:r>
        <w:rPr>
          <w:rFonts w:hint="default" w:ascii="Times New Roman" w:hAnsi="Times New Roman" w:eastAsia="仿宋_GB2312" w:cs="Times New Roman"/>
          <w:b w:val="0"/>
          <w:bCs w:val="0"/>
          <w:color w:val="auto"/>
          <w:sz w:val="32"/>
          <w:szCs w:val="32"/>
          <w:highlight w:val="none"/>
          <w:lang w:val="en-US" w:eastAsia="zh-CN"/>
        </w:rPr>
        <w:t>木材</w:t>
      </w:r>
      <w:r>
        <w:rPr>
          <w:rFonts w:hint="default" w:ascii="Times New Roman" w:hAnsi="Times New Roman" w:eastAsia="仿宋_GB2312" w:cs="Times New Roman"/>
          <w:b w:val="0"/>
          <w:bCs w:val="0"/>
          <w:color w:val="auto"/>
          <w:sz w:val="32"/>
          <w:szCs w:val="32"/>
          <w:highlight w:val="none"/>
          <w:lang w:eastAsia="zh-CN"/>
        </w:rPr>
        <w:t>产业园暨配套物流园、返乡创业园及其配套设施等项目建设，力争</w:t>
      </w:r>
      <w:r>
        <w:rPr>
          <w:rFonts w:hint="default" w:ascii="Times New Roman" w:hAnsi="Times New Roman" w:eastAsia="仿宋_GB2312" w:cs="Times New Roman"/>
          <w:b w:val="0"/>
          <w:bCs w:val="0"/>
          <w:color w:val="auto"/>
          <w:sz w:val="32"/>
          <w:szCs w:val="32"/>
          <w:highlight w:val="none"/>
          <w:lang w:val="en-US" w:eastAsia="zh-CN"/>
        </w:rPr>
        <w:t>2022年完成项目（一期）建设并投产、达产</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bCs w:val="0"/>
          <w:color w:val="auto"/>
          <w:sz w:val="32"/>
          <w:szCs w:val="32"/>
          <w:highlight w:val="none"/>
          <w:lang w:eastAsia="zh-CN"/>
        </w:rPr>
        <w:t>二是</w:t>
      </w:r>
      <w:r>
        <w:rPr>
          <w:rFonts w:hint="default" w:ascii="Times New Roman" w:hAnsi="Times New Roman" w:eastAsia="仿宋_GB2312" w:cs="Times New Roman"/>
          <w:b w:val="0"/>
          <w:bCs w:val="0"/>
          <w:color w:val="auto"/>
          <w:sz w:val="32"/>
          <w:szCs w:val="32"/>
          <w:highlight w:val="none"/>
          <w:lang w:eastAsia="zh-CN"/>
        </w:rPr>
        <w:t>结合实际，对园区未来发展进行充分研判，及时协调县直相关部门对园区土地利用规划指标进行调整，提高园区承载</w:t>
      </w:r>
      <w:r>
        <w:rPr>
          <w:rFonts w:hint="default" w:ascii="仿宋_GB2312" w:hAnsi="Times New Roman" w:eastAsia="仿宋_GB2312" w:cs="Times New Roman"/>
          <w:color w:val="auto"/>
          <w:sz w:val="32"/>
          <w:szCs w:val="32"/>
          <w:lang w:val="en-US" w:eastAsia="zh-CN"/>
        </w:rPr>
        <w:t>能力。</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bCs/>
          <w:color w:val="auto"/>
          <w:kern w:val="2"/>
          <w:sz w:val="32"/>
          <w:szCs w:val="32"/>
          <w:highlight w:val="none"/>
          <w:lang w:val="en-US" w:eastAsia="zh-CN" w:bidi="ar-SA"/>
        </w:rPr>
      </w:pPr>
      <w:r>
        <w:rPr>
          <w:rFonts w:hint="eastAsia" w:ascii="仿宋_GB2312" w:hAnsi="Times New Roman" w:eastAsia="仿宋_GB2312" w:cs="Times New Roman"/>
          <w:color w:val="auto"/>
          <w:sz w:val="32"/>
          <w:szCs w:val="32"/>
          <w:lang w:val="en-US" w:eastAsia="zh-CN"/>
        </w:rPr>
        <w:t>3.</w:t>
      </w:r>
      <w:r>
        <w:rPr>
          <w:rFonts w:hint="default" w:ascii="仿宋_GB2312" w:hAnsi="Times New Roman" w:eastAsia="仿宋_GB2312" w:cs="Times New Roman"/>
          <w:color w:val="auto"/>
          <w:sz w:val="32"/>
          <w:szCs w:val="32"/>
          <w:lang w:val="en-US" w:eastAsia="zh-CN"/>
        </w:rPr>
        <w:t>加大招商引资力度。一</w:t>
      </w:r>
      <w:r>
        <w:rPr>
          <w:rFonts w:hint="default" w:ascii="Times New Roman" w:hAnsi="Times New Roman" w:eastAsia="仿宋_GB2312" w:cs="Times New Roman"/>
          <w:b/>
          <w:bCs w:val="0"/>
          <w:color w:val="auto"/>
          <w:sz w:val="32"/>
          <w:szCs w:val="32"/>
          <w:highlight w:val="none"/>
        </w:rPr>
        <w:t>是</w:t>
      </w:r>
      <w:r>
        <w:rPr>
          <w:rFonts w:hint="default" w:ascii="Times New Roman" w:hAnsi="Times New Roman" w:eastAsia="仿宋_GB2312" w:cs="Times New Roman"/>
          <w:color w:val="auto"/>
          <w:kern w:val="0"/>
          <w:sz w:val="32"/>
          <w:szCs w:val="32"/>
          <w:highlight w:val="none"/>
        </w:rPr>
        <w:t>补链延链招商。围绕</w:t>
      </w:r>
      <w:r>
        <w:rPr>
          <w:rFonts w:hint="default" w:ascii="Times New Roman" w:hAnsi="Times New Roman" w:eastAsia="仿宋_GB2312" w:cs="Times New Roman"/>
          <w:color w:val="auto"/>
          <w:kern w:val="0"/>
          <w:sz w:val="32"/>
          <w:szCs w:val="32"/>
          <w:highlight w:val="none"/>
          <w:lang w:eastAsia="zh-CN"/>
        </w:rPr>
        <w:t>木材加工产业上下游产业链</w:t>
      </w:r>
      <w:r>
        <w:rPr>
          <w:rFonts w:hint="default" w:ascii="Times New Roman" w:hAnsi="Times New Roman" w:eastAsia="仿宋_GB2312" w:cs="Times New Roman"/>
          <w:color w:val="auto"/>
          <w:kern w:val="0"/>
          <w:sz w:val="32"/>
          <w:szCs w:val="32"/>
          <w:highlight w:val="none"/>
        </w:rPr>
        <w:t>，引进</w:t>
      </w:r>
      <w:r>
        <w:rPr>
          <w:rFonts w:hint="default" w:ascii="Times New Roman" w:hAnsi="Times New Roman" w:eastAsia="仿宋_GB2312" w:cs="Times New Roman"/>
          <w:color w:val="auto"/>
          <w:kern w:val="0"/>
          <w:sz w:val="32"/>
          <w:szCs w:val="32"/>
          <w:highlight w:val="none"/>
          <w:lang w:eastAsia="zh-CN"/>
        </w:rPr>
        <w:t>优强企业</w:t>
      </w:r>
      <w:r>
        <w:rPr>
          <w:rFonts w:hint="default" w:ascii="Times New Roman" w:hAnsi="Times New Roman" w:eastAsia="仿宋_GB2312" w:cs="Times New Roman"/>
          <w:color w:val="auto"/>
          <w:kern w:val="0"/>
          <w:sz w:val="32"/>
          <w:szCs w:val="32"/>
          <w:highlight w:val="none"/>
        </w:rPr>
        <w:t>和项目，整合提升产业链条，</w:t>
      </w:r>
      <w:r>
        <w:rPr>
          <w:rFonts w:hint="default" w:ascii="Times New Roman" w:hAnsi="Times New Roman" w:eastAsia="仿宋_GB2312" w:cs="Times New Roman"/>
          <w:color w:val="auto"/>
          <w:kern w:val="0"/>
          <w:sz w:val="32"/>
          <w:szCs w:val="32"/>
          <w:highlight w:val="none"/>
          <w:lang w:eastAsia="zh-CN"/>
        </w:rPr>
        <w:t>推动</w:t>
      </w:r>
      <w:r>
        <w:rPr>
          <w:rFonts w:hint="default" w:ascii="Times New Roman" w:hAnsi="Times New Roman" w:eastAsia="仿宋_GB2312" w:cs="Times New Roman"/>
          <w:color w:val="auto"/>
          <w:kern w:val="0"/>
          <w:sz w:val="32"/>
          <w:szCs w:val="32"/>
          <w:highlight w:val="none"/>
        </w:rPr>
        <w:t>产业集聚发展</w:t>
      </w:r>
      <w:r>
        <w:rPr>
          <w:rFonts w:hint="default" w:ascii="Times New Roman" w:hAnsi="Times New Roman" w:eastAsia="仿宋_GB2312" w:cs="Times New Roman"/>
          <w:color w:val="auto"/>
          <w:kern w:val="0"/>
          <w:sz w:val="32"/>
          <w:szCs w:val="32"/>
          <w:highlight w:val="none"/>
          <w:lang w:eastAsia="zh-CN"/>
        </w:rPr>
        <w:t>，促进工业经济高质量发展</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b/>
          <w:bCs w:val="0"/>
          <w:color w:val="auto"/>
          <w:sz w:val="32"/>
          <w:szCs w:val="32"/>
          <w:highlight w:val="none"/>
          <w:lang w:val="en-US" w:eastAsia="zh-CN"/>
        </w:rPr>
        <w:t>二</w:t>
      </w:r>
      <w:r>
        <w:rPr>
          <w:rFonts w:hint="default" w:ascii="Times New Roman" w:hAnsi="Times New Roman" w:eastAsia="仿宋_GB2312" w:cs="Times New Roman"/>
          <w:b/>
          <w:bCs w:val="0"/>
          <w:color w:val="auto"/>
          <w:sz w:val="32"/>
          <w:szCs w:val="32"/>
          <w:highlight w:val="none"/>
        </w:rPr>
        <w:t>是</w:t>
      </w:r>
      <w:r>
        <w:rPr>
          <w:rFonts w:hint="default" w:ascii="Times New Roman" w:hAnsi="Times New Roman" w:eastAsia="仿宋_GB2312" w:cs="Times New Roman"/>
          <w:b w:val="0"/>
          <w:bCs/>
          <w:color w:val="auto"/>
          <w:sz w:val="32"/>
          <w:szCs w:val="32"/>
          <w:highlight w:val="none"/>
        </w:rPr>
        <w:t>围绕自身资源优势，加强与有投资意向的客商进行深入洽谈、对接</w:t>
      </w:r>
      <w:r>
        <w:rPr>
          <w:rFonts w:hint="default" w:ascii="Times New Roman" w:hAnsi="Times New Roman" w:eastAsia="仿宋_GB2312" w:cs="Times New Roman"/>
          <w:b w:val="0"/>
          <w:bCs/>
          <w:color w:val="auto"/>
          <w:sz w:val="32"/>
          <w:szCs w:val="32"/>
          <w:highlight w:val="none"/>
          <w:lang w:eastAsia="zh-CN"/>
        </w:rPr>
        <w:t>，计划</w:t>
      </w:r>
      <w:r>
        <w:rPr>
          <w:rFonts w:hint="default" w:ascii="Times New Roman" w:hAnsi="Times New Roman" w:eastAsia="仿宋_GB2312" w:cs="Times New Roman"/>
          <w:b w:val="0"/>
          <w:bCs/>
          <w:color w:val="auto"/>
          <w:sz w:val="32"/>
          <w:szCs w:val="32"/>
          <w:highlight w:val="none"/>
          <w:lang w:val="en-US" w:eastAsia="zh-CN"/>
        </w:rPr>
        <w:t>2022</w:t>
      </w:r>
      <w:r>
        <w:rPr>
          <w:rFonts w:hint="default" w:ascii="Times New Roman" w:hAnsi="Times New Roman" w:eastAsia="仿宋_GB2312" w:cs="Times New Roman"/>
          <w:b w:val="0"/>
          <w:bCs/>
          <w:color w:val="auto"/>
          <w:sz w:val="32"/>
          <w:szCs w:val="32"/>
          <w:highlight w:val="none"/>
          <w:lang w:eastAsia="zh-CN"/>
        </w:rPr>
        <w:t>再引进年产值</w:t>
      </w:r>
      <w:r>
        <w:rPr>
          <w:rFonts w:hint="default" w:ascii="Times New Roman" w:hAnsi="Times New Roman" w:eastAsia="仿宋_GB2312" w:cs="Times New Roman"/>
          <w:b w:val="0"/>
          <w:bCs/>
          <w:color w:val="auto"/>
          <w:sz w:val="32"/>
          <w:szCs w:val="32"/>
          <w:highlight w:val="none"/>
          <w:lang w:val="en-US" w:eastAsia="zh-CN"/>
        </w:rPr>
        <w:t>2000万元以上企业10家，签约资金12亿元以上</w:t>
      </w:r>
      <w:r>
        <w:rPr>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b/>
          <w:bCs w:val="0"/>
          <w:color w:val="auto"/>
          <w:sz w:val="32"/>
          <w:szCs w:val="32"/>
          <w:highlight w:val="none"/>
          <w:lang w:val="en-US" w:eastAsia="zh-CN"/>
        </w:rPr>
        <w:t>三</w:t>
      </w:r>
      <w:r>
        <w:rPr>
          <w:rFonts w:hint="default" w:ascii="Times New Roman" w:hAnsi="Times New Roman" w:eastAsia="仿宋_GB2312" w:cs="Times New Roman"/>
          <w:b/>
          <w:bCs w:val="0"/>
          <w:color w:val="auto"/>
          <w:sz w:val="32"/>
          <w:szCs w:val="32"/>
          <w:highlight w:val="none"/>
        </w:rPr>
        <w:t>是</w:t>
      </w:r>
      <w:r>
        <w:rPr>
          <w:rFonts w:hint="default" w:ascii="Times New Roman" w:hAnsi="Times New Roman" w:eastAsia="仿宋_GB2312" w:cs="Times New Roman"/>
          <w:b w:val="0"/>
          <w:bCs/>
          <w:color w:val="auto"/>
          <w:sz w:val="32"/>
          <w:szCs w:val="32"/>
          <w:highlight w:val="none"/>
        </w:rPr>
        <w:t>充分利用东西部协作机遇，打好招商“亲情牌”，开展招商引资</w:t>
      </w:r>
      <w:r>
        <w:rPr>
          <w:rFonts w:hint="default" w:ascii="Times New Roman" w:hAnsi="Times New Roman" w:eastAsia="仿宋_GB2312" w:cs="Times New Roman"/>
          <w:b w:val="0"/>
          <w:bCs/>
          <w:color w:val="auto"/>
          <w:sz w:val="32"/>
          <w:szCs w:val="32"/>
          <w:highlight w:val="none"/>
          <w:lang w:eastAsia="zh-CN"/>
        </w:rPr>
        <w:t>工作</w:t>
      </w:r>
      <w:r>
        <w:rPr>
          <w:rFonts w:hint="default" w:ascii="Times New Roman" w:hAnsi="Times New Roman" w:eastAsia="仿宋_GB2312" w:cs="Times New Roman"/>
          <w:b w:val="0"/>
          <w:bCs/>
          <w:color w:val="auto"/>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color w:val="auto"/>
        </w:rPr>
      </w:pPr>
      <w:r>
        <w:rPr>
          <w:rFonts w:hint="eastAsia" w:ascii="仿宋_GB2312" w:hAnsi="Times New Roman" w:eastAsia="仿宋_GB2312" w:cs="Times New Roman"/>
          <w:color w:val="auto"/>
          <w:sz w:val="32"/>
          <w:szCs w:val="32"/>
          <w:lang w:val="en-US" w:eastAsia="zh-CN"/>
        </w:rPr>
        <w:t>4.</w:t>
      </w:r>
      <w:r>
        <w:rPr>
          <w:rFonts w:hint="default" w:ascii="仿宋_GB2312" w:hAnsi="Times New Roman" w:eastAsia="仿宋_GB2312" w:cs="Times New Roman"/>
          <w:color w:val="auto"/>
          <w:sz w:val="32"/>
          <w:szCs w:val="32"/>
          <w:lang w:val="en-US" w:eastAsia="zh-CN"/>
        </w:rPr>
        <w:t>加强经济建设和规上企业培育工作。力</w:t>
      </w:r>
      <w:r>
        <w:rPr>
          <w:rFonts w:hint="default" w:ascii="Times New Roman" w:hAnsi="Times New Roman" w:eastAsia="仿宋_GB2312" w:cs="Times New Roman"/>
          <w:color w:val="auto"/>
          <w:sz w:val="32"/>
          <w:szCs w:val="32"/>
          <w:highlight w:val="none"/>
          <w:lang w:eastAsia="zh-CN"/>
        </w:rPr>
        <w:t>争</w:t>
      </w:r>
      <w:r>
        <w:rPr>
          <w:rFonts w:hint="default" w:ascii="Times New Roman" w:hAnsi="Times New Roman" w:eastAsia="仿宋_GB2312" w:cs="Times New Roman"/>
          <w:color w:val="auto"/>
          <w:sz w:val="32"/>
          <w:szCs w:val="32"/>
          <w:highlight w:val="none"/>
          <w:lang w:val="en-US" w:eastAsia="zh-CN"/>
        </w:rPr>
        <w:t>2022年</w:t>
      </w:r>
      <w:r>
        <w:rPr>
          <w:rFonts w:hint="default" w:ascii="Times New Roman" w:hAnsi="Times New Roman" w:eastAsia="仿宋_GB2312" w:cs="Times New Roman"/>
          <w:color w:val="auto"/>
          <w:sz w:val="32"/>
          <w:szCs w:val="32"/>
          <w:highlight w:val="none"/>
        </w:rPr>
        <w:t>规模以上</w:t>
      </w:r>
      <w:r>
        <w:rPr>
          <w:rFonts w:hint="default" w:ascii="Times New Roman" w:hAnsi="Times New Roman" w:eastAsia="仿宋_GB2312" w:cs="Times New Roman"/>
          <w:color w:val="auto"/>
          <w:sz w:val="32"/>
          <w:szCs w:val="32"/>
          <w:highlight w:val="none"/>
          <w:lang w:val="en-US" w:eastAsia="zh-CN"/>
        </w:rPr>
        <w:t>新增</w:t>
      </w:r>
      <w:r>
        <w:rPr>
          <w:rFonts w:hint="default" w:ascii="Times New Roman" w:hAnsi="Times New Roman" w:eastAsia="仿宋_GB2312" w:cs="Times New Roman"/>
          <w:color w:val="auto"/>
          <w:sz w:val="32"/>
          <w:szCs w:val="32"/>
          <w:highlight w:val="none"/>
        </w:rPr>
        <w:t>工业</w:t>
      </w:r>
      <w:r>
        <w:rPr>
          <w:rFonts w:hint="default" w:ascii="Times New Roman" w:hAnsi="Times New Roman" w:eastAsia="仿宋_GB2312" w:cs="Times New Roman"/>
          <w:color w:val="auto"/>
          <w:sz w:val="32"/>
          <w:szCs w:val="32"/>
          <w:highlight w:val="none"/>
          <w:lang w:eastAsia="zh-CN"/>
        </w:rPr>
        <w:t>企业</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户</w:t>
      </w:r>
      <w:r>
        <w:rPr>
          <w:rFonts w:hint="eastAsia" w:ascii="Times New Roman" w:hAnsi="Times New Roman" w:eastAsia="仿宋_GB2312" w:cs="Times New Roman"/>
          <w:color w:val="auto"/>
          <w:sz w:val="32"/>
          <w:szCs w:val="32"/>
          <w:highlight w:val="none"/>
          <w:lang w:val="en-US" w:eastAsia="zh-CN"/>
        </w:rPr>
        <w:t>以上</w:t>
      </w:r>
      <w:r>
        <w:rPr>
          <w:rFonts w:hint="default" w:ascii="Times New Roman" w:hAnsi="Times New Roman" w:eastAsia="仿宋_GB2312" w:cs="Times New Roman"/>
          <w:color w:val="auto"/>
          <w:sz w:val="32"/>
          <w:szCs w:val="32"/>
          <w:highlight w:val="none"/>
          <w:lang w:val="en-US" w:eastAsia="zh-CN"/>
        </w:rPr>
        <w:t>。</w:t>
      </w:r>
    </w:p>
    <w:p>
      <w:pPr>
        <w:widowControl/>
        <w:shd w:val="clear" w:color="auto" w:fill="FFFFFF"/>
        <w:snapToGrid w:val="0"/>
        <w:spacing w:line="540" w:lineRule="exact"/>
        <w:ind w:firstLine="640" w:firstLineChars="200"/>
        <w:contextualSpacing/>
        <w:rPr>
          <w:rFonts w:ascii="仿宋_GB2312" w:hAnsi="Times New Roman" w:eastAsia="仿宋_GB2312" w:cs="Times New Roman"/>
          <w:color w:val="auto"/>
          <w:sz w:val="32"/>
          <w:szCs w:val="32"/>
        </w:rPr>
      </w:pPr>
      <w:r>
        <w:rPr>
          <w:rFonts w:hint="eastAsia" w:ascii="Times New Roman" w:hAnsi="Times New Roman" w:eastAsia="仿宋_GB2312" w:cs="Times New Roman"/>
          <w:color w:val="auto"/>
          <w:sz w:val="32"/>
          <w:szCs w:val="32"/>
          <w:highlight w:val="none"/>
          <w:lang w:val="en-US" w:eastAsia="zh-CN"/>
        </w:rPr>
        <w:t>5.园区资产管理工作。2022年计划</w:t>
      </w:r>
      <w:r>
        <w:rPr>
          <w:rFonts w:ascii="仿宋_GB2312" w:hAnsi="Times New Roman" w:eastAsia="仿宋_GB2312" w:cs="Times New Roman"/>
          <w:color w:val="auto"/>
          <w:sz w:val="32"/>
          <w:szCs w:val="32"/>
        </w:rPr>
        <w:t>清</w:t>
      </w:r>
      <w:r>
        <w:rPr>
          <w:rFonts w:hint="eastAsia" w:ascii="仿宋_GB2312" w:hAnsi="Times New Roman" w:eastAsia="仿宋_GB2312" w:cs="Times New Roman"/>
          <w:color w:val="auto"/>
          <w:sz w:val="32"/>
          <w:szCs w:val="32"/>
          <w:lang w:val="en-US" w:eastAsia="zh-CN"/>
        </w:rPr>
        <w:t>退</w:t>
      </w:r>
      <w:r>
        <w:rPr>
          <w:rFonts w:ascii="仿宋_GB2312" w:hAnsi="Times New Roman" w:eastAsia="仿宋_GB2312" w:cs="Times New Roman"/>
          <w:color w:val="auto"/>
          <w:sz w:val="32"/>
          <w:szCs w:val="32"/>
        </w:rPr>
        <w:t>僵尸企业、低效企业</w:t>
      </w:r>
      <w:r>
        <w:rPr>
          <w:rFonts w:hint="eastAsia" w:ascii="仿宋_GB2312" w:hAnsi="Times New Roman" w:eastAsia="仿宋_GB2312" w:cs="Times New Roman"/>
          <w:color w:val="auto"/>
          <w:sz w:val="32"/>
          <w:szCs w:val="32"/>
          <w:lang w:val="en-US" w:eastAsia="zh-CN"/>
        </w:rPr>
        <w:t>14家，清理企业闲置土地22亩</w:t>
      </w:r>
      <w:r>
        <w:rPr>
          <w:rFonts w:ascii="仿宋_GB2312" w:hAnsi="Times New Roman" w:eastAsia="仿宋_GB2312" w:cs="Times New Roman"/>
          <w:color w:val="auto"/>
          <w:sz w:val="32"/>
          <w:szCs w:val="32"/>
        </w:rPr>
        <w:t>。</w:t>
      </w:r>
      <w:r>
        <w:rPr>
          <w:rFonts w:ascii="仿宋_GB2312" w:hAnsi="Times New Roman" w:eastAsia="仿宋_GB2312" w:cs="Times New Roman"/>
          <w:b/>
          <w:bCs/>
          <w:color w:val="auto"/>
          <w:sz w:val="32"/>
          <w:szCs w:val="32"/>
        </w:rPr>
        <w:t>一是</w:t>
      </w:r>
      <w:r>
        <w:rPr>
          <w:rFonts w:ascii="仿宋_GB2312" w:hAnsi="Times New Roman" w:eastAsia="仿宋_GB2312" w:cs="Times New Roman"/>
          <w:color w:val="auto"/>
          <w:sz w:val="32"/>
          <w:szCs w:val="32"/>
        </w:rPr>
        <w:t>完善清理退出机制，扎实开展“一企一策”评估，制定“一企（项目）一方案”，依法依规对“僵尸”企业（项目）进行清理，盘活闲置土地、空置标准厂房，实现“腾笼换鸟”。</w:t>
      </w:r>
      <w:r>
        <w:rPr>
          <w:rFonts w:ascii="仿宋_GB2312" w:hAnsi="Times New Roman" w:eastAsia="仿宋_GB2312" w:cs="Times New Roman"/>
          <w:b/>
          <w:bCs/>
          <w:color w:val="auto"/>
          <w:sz w:val="32"/>
          <w:szCs w:val="32"/>
        </w:rPr>
        <w:t>二是</w:t>
      </w:r>
      <w:r>
        <w:rPr>
          <w:rFonts w:ascii="仿宋_GB2312" w:hAnsi="Times New Roman" w:eastAsia="仿宋_GB2312" w:cs="Times New Roman"/>
          <w:color w:val="auto"/>
          <w:sz w:val="32"/>
          <w:szCs w:val="32"/>
        </w:rPr>
        <w:t>通过对“圈地未建”、“停摆烂尾”企业（项目）进行清查，供而未用的闲置土地（A-1地块）。</w:t>
      </w:r>
    </w:p>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color w:val="auto"/>
          <w:sz w:val="32"/>
          <w:szCs w:val="32"/>
          <w:lang w:val="en-US" w:eastAsia="zh-CN"/>
        </w:rPr>
        <w:t>6</w:t>
      </w:r>
      <w:r>
        <w:rPr>
          <w:rFonts w:hint="eastAsia" w:ascii="仿宋_GB2312" w:hAnsi="Times New Roman" w:eastAsia="仿宋_GB2312" w:cs="Times New Roman"/>
          <w:color w:val="auto"/>
          <w:sz w:val="32"/>
          <w:szCs w:val="32"/>
        </w:rPr>
        <w:t>.重点综合工作任务。</w:t>
      </w:r>
      <w:r>
        <w:rPr>
          <w:rFonts w:hint="eastAsia" w:ascii="仿宋_GB2312" w:hAnsi="Times New Roman" w:eastAsia="仿宋_GB2312" w:cs="Times New Roman"/>
          <w:b/>
          <w:bCs/>
          <w:color w:val="auto"/>
          <w:sz w:val="32"/>
          <w:szCs w:val="32"/>
        </w:rPr>
        <w:t>一是</w:t>
      </w:r>
      <w:r>
        <w:rPr>
          <w:rFonts w:hint="eastAsia" w:ascii="仿宋_GB2312" w:hAnsi="Times New Roman" w:eastAsia="仿宋_GB2312" w:cs="Times New Roman"/>
          <w:color w:val="auto"/>
          <w:sz w:val="32"/>
          <w:szCs w:val="32"/>
        </w:rPr>
        <w:t>抓好党支部标准化规范化建设。</w:t>
      </w:r>
      <w:r>
        <w:rPr>
          <w:rFonts w:hint="eastAsia" w:ascii="仿宋_GB2312" w:hAnsi="Times New Roman" w:eastAsia="仿宋_GB2312" w:cs="Times New Roman"/>
          <w:b/>
          <w:bCs/>
          <w:color w:val="auto"/>
          <w:sz w:val="32"/>
          <w:szCs w:val="32"/>
        </w:rPr>
        <w:t>二是</w:t>
      </w:r>
      <w:r>
        <w:rPr>
          <w:rFonts w:hint="eastAsia" w:ascii="仿宋_GB2312" w:hAnsi="Times New Roman" w:eastAsia="仿宋_GB2312" w:cs="Times New Roman"/>
          <w:color w:val="auto"/>
          <w:sz w:val="32"/>
          <w:szCs w:val="32"/>
        </w:rPr>
        <w:t>按时完成</w:t>
      </w:r>
      <w:r>
        <w:rPr>
          <w:rFonts w:hint="eastAsia" w:ascii="仿宋_GB2312" w:hAnsi="Times New Roman" w:eastAsia="仿宋_GB2312" w:cs="Times New Roman"/>
          <w:color w:val="auto"/>
          <w:sz w:val="32"/>
          <w:szCs w:val="32"/>
          <w:lang w:val="en-US" w:eastAsia="zh-CN"/>
        </w:rPr>
        <w:t>上级分派</w:t>
      </w:r>
      <w:r>
        <w:rPr>
          <w:rFonts w:hint="eastAsia" w:ascii="仿宋_GB2312" w:hAnsi="Times New Roman" w:eastAsia="仿宋_GB2312" w:cs="Times New Roman"/>
          <w:color w:val="auto"/>
          <w:sz w:val="32"/>
          <w:szCs w:val="32"/>
        </w:rPr>
        <w:t>脱贫攻</w:t>
      </w:r>
      <w:r>
        <w:rPr>
          <w:rFonts w:hint="eastAsia" w:ascii="仿宋_GB2312" w:hAnsi="Times New Roman" w:eastAsia="仿宋_GB2312" w:cs="Times New Roman"/>
          <w:sz w:val="32"/>
          <w:szCs w:val="32"/>
        </w:rPr>
        <w:t>坚任务工作。</w:t>
      </w:r>
      <w:r>
        <w:rPr>
          <w:rFonts w:hint="eastAsia" w:ascii="仿宋_GB2312" w:hAnsi="Times New Roman" w:eastAsia="仿宋_GB2312" w:cs="Times New Roman"/>
          <w:b/>
          <w:bCs/>
          <w:color w:val="auto"/>
          <w:sz w:val="32"/>
          <w:szCs w:val="32"/>
        </w:rPr>
        <w:t>三是</w:t>
      </w:r>
      <w:r>
        <w:rPr>
          <w:rFonts w:ascii="仿宋_GB2312" w:hAnsi="Times New Roman" w:eastAsia="仿宋_GB2312" w:cs="Times New Roman"/>
          <w:sz w:val="32"/>
          <w:szCs w:val="32"/>
        </w:rPr>
        <w:t>环境保护</w:t>
      </w:r>
      <w:r>
        <w:rPr>
          <w:rFonts w:hint="eastAsia" w:ascii="仿宋_GB2312" w:hAnsi="Times New Roman" w:eastAsia="仿宋_GB2312" w:cs="Times New Roman"/>
          <w:sz w:val="32"/>
          <w:szCs w:val="32"/>
        </w:rPr>
        <w:t>工作：</w:t>
      </w:r>
      <w:r>
        <w:rPr>
          <w:rFonts w:ascii="仿宋_GB2312" w:hAnsi="Times New Roman" w:eastAsia="仿宋_GB2312" w:cs="Times New Roman"/>
          <w:sz w:val="32"/>
          <w:szCs w:val="32"/>
        </w:rPr>
        <w:t>积极开展安全环保排查工作，配合县直相关部门完成环保督察整改工作任务</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加强对企业环保设施、环评手续、排污许可、工作防护、排水排气等</w:t>
      </w:r>
      <w:r>
        <w:rPr>
          <w:rFonts w:hint="eastAsia" w:ascii="仿宋_GB2312" w:hAnsi="Times New Roman" w:eastAsia="仿宋_GB2312" w:cs="Times New Roman"/>
          <w:sz w:val="32"/>
          <w:szCs w:val="32"/>
          <w:lang w:val="en-US" w:eastAsia="zh-CN"/>
        </w:rPr>
        <w:t>设</w:t>
      </w:r>
      <w:r>
        <w:rPr>
          <w:rFonts w:ascii="仿宋_GB2312" w:hAnsi="Times New Roman" w:eastAsia="仿宋_GB2312" w:cs="Times New Roman"/>
          <w:sz w:val="32"/>
          <w:szCs w:val="32"/>
        </w:rPr>
        <w:t>施</w:t>
      </w:r>
      <w:r>
        <w:rPr>
          <w:rFonts w:hint="eastAsia" w:ascii="仿宋_GB2312" w:hAnsi="Times New Roman" w:eastAsia="仿宋_GB2312" w:cs="Times New Roman"/>
          <w:sz w:val="32"/>
          <w:szCs w:val="32"/>
          <w:lang w:eastAsia="zh-CN"/>
        </w:rPr>
        <w:t>，</w:t>
      </w:r>
      <w:r>
        <w:rPr>
          <w:rFonts w:ascii="仿宋_GB2312" w:hAnsi="Times New Roman" w:eastAsia="仿宋_GB2312" w:cs="Times New Roman"/>
          <w:sz w:val="32"/>
          <w:szCs w:val="32"/>
        </w:rPr>
        <w:t>及时消除环境问题，督促企业进一步落实环境保护主体责任。</w:t>
      </w:r>
      <w:r>
        <w:rPr>
          <w:rFonts w:hint="eastAsia" w:ascii="仿宋_GB2312" w:hAnsi="Times New Roman" w:eastAsia="仿宋_GB2312" w:cs="Times New Roman"/>
          <w:b/>
          <w:bCs/>
          <w:color w:val="auto"/>
          <w:sz w:val="32"/>
          <w:szCs w:val="32"/>
        </w:rPr>
        <w:t>四是</w:t>
      </w:r>
      <w:r>
        <w:rPr>
          <w:rFonts w:ascii="仿宋_GB2312" w:hAnsi="Times New Roman" w:eastAsia="仿宋_GB2312" w:cs="Times New Roman"/>
          <w:sz w:val="32"/>
          <w:szCs w:val="32"/>
        </w:rPr>
        <w:t>企业服务和营商环境工作</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春节后组建3个招工宣传队，到县城及11个乡镇</w:t>
      </w:r>
      <w:r>
        <w:rPr>
          <w:rFonts w:hint="eastAsia" w:ascii="仿宋_GB2312" w:hAnsi="Times New Roman" w:eastAsia="仿宋_GB2312" w:cs="Times New Roman"/>
          <w:sz w:val="32"/>
          <w:szCs w:val="32"/>
          <w:lang w:val="en-US" w:eastAsia="zh-CN"/>
        </w:rPr>
        <w:t>为园区企业</w:t>
      </w:r>
      <w:r>
        <w:rPr>
          <w:rFonts w:ascii="仿宋_GB2312" w:hAnsi="Times New Roman" w:eastAsia="仿宋_GB2312" w:cs="Times New Roman"/>
          <w:sz w:val="32"/>
          <w:szCs w:val="32"/>
        </w:rPr>
        <w:t>巡回招工宣传，</w:t>
      </w:r>
      <w:r>
        <w:rPr>
          <w:rFonts w:hint="eastAsia" w:ascii="仿宋_GB2312" w:hAnsi="Times New Roman" w:eastAsia="仿宋_GB2312" w:cs="Times New Roman"/>
          <w:sz w:val="32"/>
          <w:szCs w:val="32"/>
          <w:lang w:val="en-US" w:eastAsia="zh-CN"/>
        </w:rPr>
        <w:t>随时</w:t>
      </w:r>
      <w:r>
        <w:rPr>
          <w:rFonts w:ascii="仿宋_GB2312" w:hAnsi="Times New Roman" w:eastAsia="仿宋_GB2312" w:cs="Times New Roman"/>
          <w:sz w:val="32"/>
          <w:szCs w:val="32"/>
        </w:rPr>
        <w:t>配合人力资源公司开展现场招聘</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进一步解决企业用水、用电、用工、融资、用地、技改等要素保障问题</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与县人社、车民街道、职校和企业联合，以校企结合方式开展劳动技能培训</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b/>
          <w:bCs/>
          <w:color w:val="auto"/>
          <w:sz w:val="32"/>
          <w:szCs w:val="32"/>
          <w:lang w:val="en-US" w:eastAsia="zh-CN"/>
        </w:rPr>
        <w:t>五</w:t>
      </w:r>
      <w:r>
        <w:rPr>
          <w:rFonts w:hint="eastAsia" w:ascii="仿宋_GB2312" w:hAnsi="Times New Roman" w:eastAsia="仿宋_GB2312" w:cs="Times New Roman"/>
          <w:b/>
          <w:bCs/>
          <w:color w:val="auto"/>
          <w:sz w:val="32"/>
          <w:szCs w:val="32"/>
        </w:rPr>
        <w:t>是</w:t>
      </w:r>
      <w:r>
        <w:rPr>
          <w:rFonts w:hint="eastAsia" w:ascii="仿宋_GB2312" w:hAnsi="Times New Roman" w:eastAsia="仿宋_GB2312" w:cs="Times New Roman"/>
          <w:sz w:val="32"/>
          <w:szCs w:val="32"/>
        </w:rPr>
        <w:t>扎实开展信访维稳、综治平安、安全生产和深化园区改革等工作。</w:t>
      </w:r>
    </w:p>
    <w:p>
      <w:pPr>
        <w:widowControl/>
        <w:shd w:val="clear" w:color="auto" w:fill="FFFFFF"/>
        <w:snapToGrid w:val="0"/>
        <w:spacing w:line="540" w:lineRule="exact"/>
        <w:ind w:firstLine="640" w:firstLineChars="200"/>
        <w:contextualSpacing/>
        <w:rPr>
          <w:rFonts w:ascii="Times New Roman" w:hAnsi="Times New Roman" w:eastAsia="楷体_GB2312" w:cs="Times New Roman"/>
          <w:b/>
          <w:bCs/>
          <w:kern w:val="0"/>
          <w:sz w:val="32"/>
          <w:szCs w:val="32"/>
        </w:rPr>
      </w:pPr>
      <w:r>
        <w:rPr>
          <w:rFonts w:hint="eastAsia" w:ascii="黑体" w:hAnsi="黑体" w:eastAsia="黑体" w:cs="Times New Roman"/>
          <w:bCs/>
          <w:kern w:val="0"/>
          <w:sz w:val="32"/>
          <w:szCs w:val="32"/>
        </w:rPr>
        <w:t>二、整体支出绩效自评工作情况</w:t>
      </w:r>
    </w:p>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1.绩效自评目的。进一步提升绩效管理水平，强化支出责任，落实工作机制。通过资金使用情况、项目实施管理情况、项目绩效表现情况自我评价，了解资金使用是否达到预期目标，资金管理是否规范，资金使用是否有效等，检验资金支出效率和结果，分析存在的问题及原因，及时总结经验，改进管理措施，不断增强和落实绩效管理责任，完善工作机制，有效提高资金管理水平和资金使用效益。</w:t>
      </w:r>
    </w:p>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2.绩效自评的思路和范围。本次部门整体支出绩效自评思路、对象和范围是：园区202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年度全部收支安排、资金使用和绩效管理情况，涵盖园区所有预算收入和基本支出、项目支出等整体预算绩效情况。</w:t>
      </w:r>
    </w:p>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3.绩效自评指标体系。根据园区工作职能及绩效目标的设立情况，按上级要求评价标的设置“投入、过程、产出、效益、满意度”5个一级指标，指标分值权重分别为：10%、20%、35%、25%、10%；并将其分解为14个二级指标，分别为目标设定、预算配置、预算执行、预算管理、资产管理、数量指标、经济效益、社会效益、服务对象满意。同时将14个二级指标细化分解为</w:t>
      </w:r>
      <w:r>
        <w:rPr>
          <w:rFonts w:hint="eastAsia" w:ascii="仿宋_GB2312" w:hAnsi="Times New Roman" w:eastAsia="仿宋_GB2312" w:cs="Times New Roman"/>
          <w:sz w:val="32"/>
          <w:szCs w:val="32"/>
          <w:lang w:val="en-US" w:eastAsia="zh-CN"/>
        </w:rPr>
        <w:t>54</w:t>
      </w:r>
      <w:r>
        <w:rPr>
          <w:rFonts w:hint="eastAsia" w:ascii="仿宋_GB2312" w:hAnsi="Times New Roman" w:eastAsia="仿宋_GB2312" w:cs="Times New Roman"/>
          <w:sz w:val="32"/>
          <w:szCs w:val="32"/>
        </w:rPr>
        <w:t>个三级指标（具体指标体系详《部门整体支出绩效自评表》）。</w:t>
      </w:r>
    </w:p>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4.绩效自评原则。本次评价遵循科学规范、公正公开、分级分类和绩效评价相关原则。</w:t>
      </w:r>
    </w:p>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5.评价方法。本次绩效自评主要通过审阅资料方式，采用综合评分定级法进行自评。</w:t>
      </w:r>
    </w:p>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6.绩效自评评价标准。本次评价采用百分制，各级指标依据其指标权重确定分值，根据评价情况对各级指标进行评分。根据最终得分情况将评价结果分为四个等级：优秀（得分≥90分）；良好（80分≤得分＜90分）；合格（60≤得分＜80分）；不合格（得分＜60分）。</w:t>
      </w:r>
    </w:p>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7.绩效自评工作过程。一是前期准备。根据预算法相关规定，在编制预算时，建立事前绩效目标编制工作，构建事中绩效跟踪和绩效评价机制。为切实做好202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度预算绩效考核工作，保证园区预算支出绩效自评工作高效有序进行，确保绩效目标如期实现，园区部门整体支出绩效目标和项目支出绩效目标，明确评价组织实施方式，确定评价目的、内容、任务、依据、评价时间及要求等方面情况；二是组织实施。根据《关于开展2022年预算绩效自评工作的通知》（榕财绩〔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〕2号）要求，园区党组高度重视，在园区预算绩效自评工作领导小组领导下，积极组织各相关办局开展202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年预算绩效自评相关工作。绩效评价工作由园区综合事务服务中心统筹各服务事务中心和金宇公司</w:t>
      </w:r>
      <w:r>
        <w:rPr>
          <w:rFonts w:hint="eastAsia" w:ascii="仿宋_GB2312" w:hAnsi="Times New Roman" w:eastAsia="仿宋_GB2312" w:cs="Times New Roman"/>
          <w:sz w:val="32"/>
          <w:szCs w:val="32"/>
          <w:lang w:val="en-US" w:eastAsia="zh-CN"/>
        </w:rPr>
        <w:t>和车江坝区指挥部（管委会派出农业工作小组）</w:t>
      </w:r>
      <w:r>
        <w:rPr>
          <w:rFonts w:hint="eastAsia" w:ascii="仿宋_GB2312" w:hAnsi="Times New Roman" w:eastAsia="仿宋_GB2312" w:cs="Times New Roman"/>
          <w:sz w:val="32"/>
          <w:szCs w:val="32"/>
        </w:rPr>
        <w:t>提供</w:t>
      </w:r>
      <w:r>
        <w:rPr>
          <w:rFonts w:hint="eastAsia" w:ascii="仿宋_GB2312" w:hAnsi="Times New Roman" w:eastAsia="仿宋_GB2312" w:cs="Times New Roman"/>
          <w:sz w:val="32"/>
          <w:szCs w:val="32"/>
          <w:lang w:val="en-US" w:eastAsia="zh-CN"/>
        </w:rPr>
        <w:t>印证</w:t>
      </w:r>
      <w:r>
        <w:rPr>
          <w:rFonts w:hint="eastAsia" w:ascii="仿宋_GB2312" w:hAnsi="Times New Roman" w:eastAsia="仿宋_GB2312" w:cs="Times New Roman"/>
          <w:sz w:val="32"/>
          <w:szCs w:val="32"/>
        </w:rPr>
        <w:t>材料并协助完成相关评价工作。</w:t>
      </w:r>
    </w:p>
    <w:p>
      <w:pPr>
        <w:widowControl/>
        <w:shd w:val="clear" w:color="auto" w:fill="FFFFFF"/>
        <w:snapToGrid w:val="0"/>
        <w:spacing w:line="540" w:lineRule="exact"/>
        <w:ind w:firstLine="640" w:firstLineChars="200"/>
        <w:contextualSpacing/>
        <w:rPr>
          <w:rFonts w:ascii="Times New Roman" w:hAnsi="Times New Roman" w:eastAsia="楷体_GB2312" w:cs="Times New Roman"/>
          <w:b/>
          <w:bCs/>
          <w:kern w:val="0"/>
          <w:sz w:val="32"/>
          <w:szCs w:val="32"/>
        </w:rPr>
      </w:pPr>
      <w:r>
        <w:rPr>
          <w:rFonts w:hint="eastAsia" w:ascii="黑体" w:hAnsi="黑体" w:eastAsia="黑体" w:cs="Times New Roman"/>
          <w:bCs/>
          <w:kern w:val="0"/>
          <w:sz w:val="32"/>
          <w:szCs w:val="32"/>
        </w:rPr>
        <w:t>三、综合评价情况及评价结论</w:t>
      </w:r>
    </w:p>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园区整体绩效自评得分</w:t>
      </w:r>
      <w:r>
        <w:rPr>
          <w:rFonts w:hint="eastAsia" w:ascii="仿宋_GB2312" w:hAnsi="Times New Roman" w:eastAsia="仿宋_GB2312" w:cs="Times New Roman"/>
          <w:sz w:val="32"/>
          <w:szCs w:val="32"/>
          <w:lang w:val="en-US" w:eastAsia="zh-CN"/>
        </w:rPr>
        <w:t>75.1</w:t>
      </w:r>
      <w:r>
        <w:rPr>
          <w:rFonts w:hint="eastAsia" w:ascii="仿宋_GB2312" w:hAnsi="Times New Roman" w:eastAsia="仿宋_GB2312" w:cs="Times New Roman"/>
          <w:sz w:val="32"/>
          <w:szCs w:val="32"/>
        </w:rPr>
        <w:t>分，评价等级为“</w:t>
      </w:r>
      <w:r>
        <w:rPr>
          <w:rFonts w:hint="eastAsia" w:ascii="仿宋_GB2312" w:hAnsi="Times New Roman" w:eastAsia="仿宋_GB2312" w:cs="Times New Roman"/>
          <w:sz w:val="32"/>
          <w:szCs w:val="32"/>
          <w:lang w:val="en-US" w:eastAsia="zh-CN"/>
        </w:rPr>
        <w:t>合格</w:t>
      </w:r>
      <w:r>
        <w:rPr>
          <w:rFonts w:hint="eastAsia" w:ascii="仿宋_GB2312" w:hAnsi="Times New Roman" w:eastAsia="仿宋_GB2312" w:cs="Times New Roman"/>
          <w:sz w:val="32"/>
          <w:szCs w:val="32"/>
        </w:rPr>
        <w:t>”。一级指标得分情况详见下表：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snapToGrid w:val="0"/>
              <w:spacing w:before="100" w:beforeAutospacing="1" w:after="100" w:afterAutospacing="1" w:line="560" w:lineRule="exact"/>
              <w:contextualSpacing/>
              <w:jc w:val="center"/>
              <w:rPr>
                <w:rFonts w:ascii="宋体" w:hAnsi="宋体" w:eastAsia="宋体" w:cs="宋体"/>
                <w:b/>
                <w:bCs/>
                <w:kern w:val="0"/>
                <w:sz w:val="24"/>
                <w:szCs w:val="24"/>
              </w:rPr>
            </w:pPr>
            <w:r>
              <w:rPr>
                <w:rFonts w:hint="eastAsia" w:ascii="宋体" w:hAnsi="宋体" w:eastAsia="宋体" w:cs="宋体"/>
                <w:b/>
                <w:bCs/>
                <w:kern w:val="0"/>
                <w:sz w:val="24"/>
                <w:szCs w:val="24"/>
              </w:rPr>
              <w:t>一级指标</w:t>
            </w:r>
          </w:p>
        </w:tc>
        <w:tc>
          <w:tcPr>
            <w:tcW w:w="2130" w:type="dxa"/>
          </w:tcPr>
          <w:p>
            <w:pPr>
              <w:widowControl/>
              <w:snapToGrid w:val="0"/>
              <w:spacing w:before="100" w:beforeAutospacing="1" w:after="100" w:afterAutospacing="1" w:line="560" w:lineRule="exact"/>
              <w:contextualSpacing/>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2131" w:type="dxa"/>
          </w:tcPr>
          <w:p>
            <w:pPr>
              <w:widowControl/>
              <w:snapToGrid w:val="0"/>
              <w:spacing w:before="100" w:beforeAutospacing="1" w:after="100" w:afterAutospacing="1" w:line="560" w:lineRule="exact"/>
              <w:contextualSpacing/>
              <w:jc w:val="center"/>
              <w:rPr>
                <w:rFonts w:ascii="宋体" w:hAnsi="宋体" w:eastAsia="宋体" w:cs="宋体"/>
                <w:b/>
                <w:bCs/>
                <w:kern w:val="0"/>
                <w:sz w:val="24"/>
                <w:szCs w:val="24"/>
              </w:rPr>
            </w:pPr>
            <w:r>
              <w:rPr>
                <w:rFonts w:hint="eastAsia" w:ascii="宋体" w:hAnsi="宋体" w:eastAsia="宋体" w:cs="宋体"/>
                <w:b/>
                <w:bCs/>
                <w:kern w:val="0"/>
                <w:sz w:val="24"/>
                <w:szCs w:val="24"/>
              </w:rPr>
              <w:t>评价得分</w:t>
            </w:r>
          </w:p>
        </w:tc>
        <w:tc>
          <w:tcPr>
            <w:tcW w:w="2131" w:type="dxa"/>
          </w:tcPr>
          <w:p>
            <w:pPr>
              <w:widowControl/>
              <w:snapToGrid w:val="0"/>
              <w:spacing w:before="100" w:beforeAutospacing="1" w:after="100" w:afterAutospacing="1" w:line="560" w:lineRule="exact"/>
              <w:contextualSpacing/>
              <w:jc w:val="center"/>
              <w:rPr>
                <w:rFonts w:ascii="宋体" w:hAnsi="宋体" w:eastAsia="宋体" w:cs="宋体"/>
                <w:b/>
                <w:bCs/>
                <w:kern w:val="0"/>
                <w:sz w:val="24"/>
                <w:szCs w:val="24"/>
              </w:rPr>
            </w:pPr>
            <w:r>
              <w:rPr>
                <w:rFonts w:hint="eastAsia" w:ascii="宋体" w:hAnsi="宋体" w:eastAsia="宋体" w:cs="宋体"/>
                <w:b/>
                <w:bCs/>
                <w:kern w:val="0"/>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snapToGrid w:val="0"/>
              <w:spacing w:before="100" w:beforeAutospacing="1" w:after="100" w:afterAutospacing="1" w:line="560" w:lineRule="exact"/>
              <w:contextualSpacing/>
              <w:jc w:val="center"/>
              <w:rPr>
                <w:rFonts w:ascii="宋体" w:hAnsi="宋体" w:eastAsia="宋体" w:cs="宋体"/>
                <w:kern w:val="0"/>
                <w:sz w:val="24"/>
                <w:szCs w:val="24"/>
              </w:rPr>
            </w:pPr>
            <w:r>
              <w:rPr>
                <w:rFonts w:hint="eastAsia" w:ascii="宋体" w:hAnsi="宋体" w:eastAsia="宋体" w:cs="宋体"/>
                <w:kern w:val="0"/>
                <w:sz w:val="24"/>
                <w:szCs w:val="24"/>
              </w:rPr>
              <w:t>投入</w:t>
            </w:r>
          </w:p>
        </w:tc>
        <w:tc>
          <w:tcPr>
            <w:tcW w:w="2130" w:type="dxa"/>
            <w:vAlign w:val="center"/>
          </w:tcPr>
          <w:p>
            <w:pPr>
              <w:widowControl/>
              <w:snapToGrid w:val="0"/>
              <w:spacing w:before="100" w:beforeAutospacing="1" w:after="100" w:afterAutospacing="1" w:line="560" w:lineRule="exact"/>
              <w:contextualSpacing/>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2131" w:type="dxa"/>
            <w:vAlign w:val="center"/>
          </w:tcPr>
          <w:p>
            <w:pPr>
              <w:widowControl/>
              <w:snapToGrid w:val="0"/>
              <w:spacing w:before="100" w:beforeAutospacing="1" w:after="100" w:afterAutospacing="1" w:line="560" w:lineRule="exact"/>
              <w:contextualSpacing/>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2131" w:type="dxa"/>
            <w:vAlign w:val="center"/>
          </w:tcPr>
          <w:p>
            <w:pPr>
              <w:widowControl/>
              <w:snapToGrid w:val="0"/>
              <w:spacing w:before="100" w:beforeAutospacing="1" w:after="100" w:afterAutospacing="1" w:line="560" w:lineRule="exact"/>
              <w:contextualSpacing/>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snapToGrid w:val="0"/>
              <w:spacing w:before="100" w:beforeAutospacing="1" w:after="100" w:afterAutospacing="1" w:line="560" w:lineRule="exact"/>
              <w:contextualSpacing/>
              <w:jc w:val="center"/>
              <w:rPr>
                <w:rFonts w:ascii="宋体" w:hAnsi="宋体" w:eastAsia="宋体" w:cs="宋体"/>
                <w:kern w:val="0"/>
                <w:sz w:val="24"/>
                <w:szCs w:val="24"/>
              </w:rPr>
            </w:pPr>
            <w:r>
              <w:rPr>
                <w:rFonts w:hint="eastAsia" w:ascii="宋体" w:hAnsi="宋体" w:eastAsia="宋体" w:cs="宋体"/>
                <w:kern w:val="0"/>
                <w:sz w:val="24"/>
                <w:szCs w:val="24"/>
              </w:rPr>
              <w:t>过程</w:t>
            </w:r>
          </w:p>
        </w:tc>
        <w:tc>
          <w:tcPr>
            <w:tcW w:w="2130" w:type="dxa"/>
            <w:vAlign w:val="center"/>
          </w:tcPr>
          <w:p>
            <w:pPr>
              <w:widowControl/>
              <w:snapToGrid w:val="0"/>
              <w:spacing w:before="100" w:beforeAutospacing="1" w:after="100" w:afterAutospacing="1" w:line="560" w:lineRule="exact"/>
              <w:contextualSpacing/>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2131" w:type="dxa"/>
            <w:vAlign w:val="center"/>
          </w:tcPr>
          <w:p>
            <w:pPr>
              <w:widowControl/>
              <w:snapToGrid w:val="0"/>
              <w:spacing w:before="100" w:beforeAutospacing="1" w:after="100" w:afterAutospacing="1" w:line="560" w:lineRule="exact"/>
              <w:contextualSpacing/>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17.1</w:t>
            </w:r>
          </w:p>
        </w:tc>
        <w:tc>
          <w:tcPr>
            <w:tcW w:w="2131" w:type="dxa"/>
            <w:vAlign w:val="center"/>
          </w:tcPr>
          <w:p>
            <w:pPr>
              <w:widowControl/>
              <w:snapToGrid w:val="0"/>
              <w:spacing w:before="100" w:beforeAutospacing="1" w:after="100" w:afterAutospacing="1" w:line="560" w:lineRule="exact"/>
              <w:contextualSpacing/>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85.</w:t>
            </w:r>
            <w:r>
              <w:rPr>
                <w:rFonts w:hint="eastAsia" w:ascii="宋体" w:hAnsi="宋体" w:eastAsia="宋体" w:cs="宋体"/>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snapToGrid w:val="0"/>
              <w:spacing w:before="100" w:beforeAutospacing="1" w:after="100" w:afterAutospacing="1" w:line="560" w:lineRule="exact"/>
              <w:contextualSpacing/>
              <w:jc w:val="center"/>
              <w:rPr>
                <w:rFonts w:ascii="宋体" w:hAnsi="宋体" w:eastAsia="宋体" w:cs="宋体"/>
                <w:kern w:val="0"/>
                <w:sz w:val="24"/>
                <w:szCs w:val="24"/>
              </w:rPr>
            </w:pPr>
            <w:r>
              <w:rPr>
                <w:rFonts w:hint="eastAsia" w:ascii="宋体" w:hAnsi="宋体" w:eastAsia="宋体" w:cs="宋体"/>
                <w:kern w:val="0"/>
                <w:sz w:val="24"/>
                <w:szCs w:val="24"/>
              </w:rPr>
              <w:t>产出</w:t>
            </w:r>
          </w:p>
        </w:tc>
        <w:tc>
          <w:tcPr>
            <w:tcW w:w="2130" w:type="dxa"/>
            <w:vAlign w:val="center"/>
          </w:tcPr>
          <w:p>
            <w:pPr>
              <w:widowControl/>
              <w:snapToGrid w:val="0"/>
              <w:spacing w:before="100" w:beforeAutospacing="1" w:after="100" w:afterAutospacing="1" w:line="560" w:lineRule="exact"/>
              <w:contextualSpacing/>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2131" w:type="dxa"/>
            <w:vAlign w:val="center"/>
          </w:tcPr>
          <w:p>
            <w:pPr>
              <w:widowControl/>
              <w:snapToGrid w:val="0"/>
              <w:spacing w:before="100" w:beforeAutospacing="1" w:after="100" w:afterAutospacing="1" w:line="560" w:lineRule="exact"/>
              <w:contextualSpacing/>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2.9</w:t>
            </w:r>
          </w:p>
        </w:tc>
        <w:tc>
          <w:tcPr>
            <w:tcW w:w="2131" w:type="dxa"/>
            <w:vAlign w:val="center"/>
          </w:tcPr>
          <w:p>
            <w:pPr>
              <w:widowControl/>
              <w:snapToGrid w:val="0"/>
              <w:spacing w:before="100" w:beforeAutospacing="1" w:after="100" w:afterAutospacing="1" w:line="560" w:lineRule="exact"/>
              <w:contextualSpacing/>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65.43</w:t>
            </w: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snapToGrid w:val="0"/>
              <w:spacing w:before="100" w:beforeAutospacing="1" w:after="100" w:afterAutospacing="1" w:line="560" w:lineRule="exact"/>
              <w:contextualSpacing/>
              <w:jc w:val="center"/>
              <w:rPr>
                <w:rFonts w:ascii="宋体" w:hAnsi="宋体" w:eastAsia="宋体" w:cs="宋体"/>
                <w:kern w:val="0"/>
                <w:sz w:val="24"/>
                <w:szCs w:val="24"/>
              </w:rPr>
            </w:pPr>
            <w:r>
              <w:rPr>
                <w:rFonts w:hint="eastAsia" w:ascii="宋体" w:hAnsi="宋体" w:eastAsia="宋体" w:cs="宋体"/>
                <w:kern w:val="0"/>
                <w:sz w:val="24"/>
                <w:szCs w:val="24"/>
              </w:rPr>
              <w:t>效益</w:t>
            </w:r>
          </w:p>
        </w:tc>
        <w:tc>
          <w:tcPr>
            <w:tcW w:w="2130" w:type="dxa"/>
            <w:vAlign w:val="center"/>
          </w:tcPr>
          <w:p>
            <w:pPr>
              <w:widowControl/>
              <w:snapToGrid w:val="0"/>
              <w:spacing w:before="100" w:beforeAutospacing="1" w:after="100" w:afterAutospacing="1" w:line="560" w:lineRule="exact"/>
              <w:contextualSpacing/>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2131" w:type="dxa"/>
            <w:vAlign w:val="center"/>
          </w:tcPr>
          <w:p>
            <w:pPr>
              <w:widowControl/>
              <w:snapToGrid w:val="0"/>
              <w:spacing w:before="100" w:beforeAutospacing="1" w:after="100" w:afterAutospacing="1" w:line="560" w:lineRule="exact"/>
              <w:contextualSpacing/>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18.1</w:t>
            </w:r>
          </w:p>
        </w:tc>
        <w:tc>
          <w:tcPr>
            <w:tcW w:w="2131" w:type="dxa"/>
            <w:vAlign w:val="center"/>
          </w:tcPr>
          <w:p>
            <w:pPr>
              <w:widowControl/>
              <w:snapToGrid w:val="0"/>
              <w:spacing w:before="100" w:beforeAutospacing="1" w:after="100" w:afterAutospacing="1" w:line="560" w:lineRule="exact"/>
              <w:contextualSpacing/>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72.4</w:t>
            </w: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snapToGrid w:val="0"/>
              <w:spacing w:before="100" w:beforeAutospacing="1" w:after="100" w:afterAutospacing="1" w:line="560" w:lineRule="exact"/>
              <w:contextualSpacing/>
              <w:jc w:val="center"/>
              <w:rPr>
                <w:rFonts w:ascii="宋体" w:hAnsi="宋体" w:eastAsia="宋体" w:cs="宋体"/>
                <w:kern w:val="0"/>
                <w:sz w:val="24"/>
                <w:szCs w:val="24"/>
              </w:rPr>
            </w:pPr>
            <w:r>
              <w:rPr>
                <w:rFonts w:hint="eastAsia" w:ascii="宋体" w:hAnsi="宋体" w:eastAsia="宋体" w:cs="宋体"/>
                <w:kern w:val="0"/>
                <w:sz w:val="24"/>
                <w:szCs w:val="24"/>
              </w:rPr>
              <w:t>满意度</w:t>
            </w:r>
          </w:p>
        </w:tc>
        <w:tc>
          <w:tcPr>
            <w:tcW w:w="2130" w:type="dxa"/>
            <w:vAlign w:val="center"/>
          </w:tcPr>
          <w:p>
            <w:pPr>
              <w:widowControl/>
              <w:snapToGrid w:val="0"/>
              <w:spacing w:before="100" w:beforeAutospacing="1" w:after="100" w:afterAutospacing="1" w:line="560" w:lineRule="exact"/>
              <w:contextualSpacing/>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2131" w:type="dxa"/>
            <w:vAlign w:val="center"/>
          </w:tcPr>
          <w:p>
            <w:pPr>
              <w:widowControl/>
              <w:snapToGrid w:val="0"/>
              <w:spacing w:before="100" w:beforeAutospacing="1" w:after="100" w:afterAutospacing="1" w:line="560" w:lineRule="exact"/>
              <w:contextualSpacing/>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8</w:t>
            </w:r>
          </w:p>
        </w:tc>
        <w:tc>
          <w:tcPr>
            <w:tcW w:w="2131" w:type="dxa"/>
            <w:vAlign w:val="center"/>
          </w:tcPr>
          <w:p>
            <w:pPr>
              <w:widowControl/>
              <w:snapToGrid w:val="0"/>
              <w:spacing w:before="100" w:beforeAutospacing="1" w:after="100" w:afterAutospacing="1" w:line="560" w:lineRule="exact"/>
              <w:contextualSpacing/>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snapToGrid w:val="0"/>
              <w:spacing w:before="100" w:beforeAutospacing="1" w:after="100" w:afterAutospacing="1" w:line="560" w:lineRule="exact"/>
              <w:contextualSpacing/>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130" w:type="dxa"/>
            <w:vAlign w:val="center"/>
          </w:tcPr>
          <w:p>
            <w:pPr>
              <w:widowControl/>
              <w:snapToGrid w:val="0"/>
              <w:spacing w:before="100" w:beforeAutospacing="1" w:after="100" w:afterAutospacing="1" w:line="560" w:lineRule="exact"/>
              <w:contextualSpacing/>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2131" w:type="dxa"/>
            <w:vAlign w:val="center"/>
          </w:tcPr>
          <w:p>
            <w:pPr>
              <w:widowControl/>
              <w:snapToGrid w:val="0"/>
              <w:spacing w:before="100" w:beforeAutospacing="1" w:after="100" w:afterAutospacing="1" w:line="560" w:lineRule="exact"/>
              <w:contextualSpacing/>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75.1</w:t>
            </w:r>
          </w:p>
        </w:tc>
        <w:tc>
          <w:tcPr>
            <w:tcW w:w="2131" w:type="dxa"/>
            <w:vAlign w:val="center"/>
          </w:tcPr>
          <w:p>
            <w:pPr>
              <w:widowControl/>
              <w:snapToGrid w:val="0"/>
              <w:spacing w:before="100" w:beforeAutospacing="1" w:after="100" w:afterAutospacing="1" w:line="560" w:lineRule="exact"/>
              <w:contextualSpacing/>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75.1</w:t>
            </w:r>
            <w:r>
              <w:rPr>
                <w:rFonts w:hint="eastAsia" w:ascii="宋体" w:hAnsi="宋体" w:eastAsia="宋体" w:cs="宋体"/>
                <w:kern w:val="0"/>
                <w:sz w:val="24"/>
                <w:szCs w:val="24"/>
              </w:rPr>
              <w:t>%</w:t>
            </w:r>
          </w:p>
        </w:tc>
      </w:tr>
    </w:tbl>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园区较好地完成了202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年度工作计划与工作任务</w:t>
      </w:r>
      <w:r>
        <w:rPr>
          <w:rFonts w:hint="eastAsia" w:ascii="仿宋_GB2312" w:hAnsi="Times New Roman" w:eastAsia="仿宋_GB2312" w:cs="Times New Roman"/>
          <w:sz w:val="32"/>
          <w:szCs w:val="32"/>
          <w:lang w:val="en-US" w:eastAsia="zh-CN"/>
        </w:rPr>
        <w:t>数</w:t>
      </w:r>
      <w:r>
        <w:rPr>
          <w:rFonts w:hint="eastAsia" w:ascii="仿宋_GB2312" w:hAnsi="Times New Roman" w:eastAsia="仿宋_GB2312" w:cs="Times New Roman"/>
          <w:sz w:val="32"/>
          <w:szCs w:val="32"/>
        </w:rPr>
        <w:t>，综合评价结论如下：</w:t>
      </w:r>
    </w:p>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年以来，在严重疫情</w:t>
      </w:r>
      <w:r>
        <w:rPr>
          <w:rFonts w:hint="eastAsia" w:ascii="仿宋_GB2312" w:hAnsi="Times New Roman" w:eastAsia="仿宋_GB2312" w:cs="Times New Roman"/>
          <w:sz w:val="32"/>
          <w:szCs w:val="32"/>
          <w:lang w:val="en-US" w:eastAsia="zh-CN"/>
        </w:rPr>
        <w:t>风控</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国内外经济下行压力加大情况</w:t>
      </w:r>
      <w:r>
        <w:rPr>
          <w:rFonts w:hint="eastAsia" w:ascii="仿宋_GB2312" w:hAnsi="Times New Roman" w:eastAsia="仿宋_GB2312" w:cs="Times New Roman"/>
          <w:sz w:val="32"/>
          <w:szCs w:val="32"/>
          <w:lang w:val="en-US" w:eastAsia="zh-CN"/>
        </w:rPr>
        <w:t>和严重高温干旱气候灾害不利条件</w:t>
      </w:r>
      <w:r>
        <w:rPr>
          <w:rFonts w:hint="eastAsia" w:ascii="仿宋_GB2312" w:hAnsi="Times New Roman" w:eastAsia="仿宋_GB2312" w:cs="Times New Roman"/>
          <w:sz w:val="32"/>
          <w:szCs w:val="32"/>
        </w:rPr>
        <w:t>下，</w:t>
      </w:r>
      <w:r>
        <w:rPr>
          <w:rFonts w:hint="eastAsia" w:ascii="仿宋_GB2312" w:hAnsi="Times New Roman" w:eastAsia="仿宋_GB2312" w:cs="Times New Roman"/>
          <w:sz w:val="32"/>
          <w:szCs w:val="32"/>
          <w:lang w:val="en-US" w:eastAsia="zh-CN"/>
        </w:rPr>
        <w:t>得</w:t>
      </w:r>
      <w:r>
        <w:rPr>
          <w:rFonts w:hint="eastAsia" w:ascii="仿宋_GB2312" w:hAnsi="Times New Roman" w:eastAsia="仿宋_GB2312" w:cs="Times New Roman"/>
          <w:sz w:val="32"/>
          <w:szCs w:val="32"/>
        </w:rPr>
        <w:t>县委、县政府的坚强领导，</w:t>
      </w:r>
      <w:r>
        <w:rPr>
          <w:rFonts w:hint="eastAsia" w:ascii="仿宋_GB2312" w:hAnsi="Times New Roman" w:eastAsia="仿宋_GB2312" w:cs="Times New Roman"/>
          <w:sz w:val="32"/>
          <w:szCs w:val="32"/>
          <w:lang w:val="en-US" w:eastAsia="zh-CN"/>
        </w:rPr>
        <w:t>工业园区</w:t>
      </w:r>
      <w:r>
        <w:rPr>
          <w:rFonts w:hint="eastAsia" w:ascii="仿宋_GB2312" w:hAnsi="Times New Roman" w:eastAsia="仿宋_GB2312" w:cs="Times New Roman"/>
          <w:sz w:val="32"/>
          <w:szCs w:val="32"/>
        </w:rPr>
        <w:t>坚决贯彻落实党中央、国务院和省、州决策部署，坚持目标导向、问题导向、结果导向，对标对表，扎实做好“六稳”工作，全面落实“六保”任务，攻坚克难，锐意进取，科学统筹抓好脱贫攻坚、疫情防控和工业经济发展，全力推进工业发展取得新突破，园区和项改革稳步推进，坝区农业综合发展整治工作平稳过渡</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园区基础设施建设、招商引资、资产管理提质增效、营商环境改善等年度工作取得较好成绩</w:t>
      </w:r>
      <w:r>
        <w:rPr>
          <w:rFonts w:hint="eastAsia" w:ascii="仿宋_GB2312" w:hAnsi="Times New Roman" w:eastAsia="仿宋_GB2312" w:cs="Times New Roman"/>
          <w:sz w:val="32"/>
          <w:szCs w:val="32"/>
        </w:rPr>
        <w:t>。</w:t>
      </w:r>
    </w:p>
    <w:p>
      <w:pPr>
        <w:widowControl/>
        <w:shd w:val="clear" w:color="auto" w:fill="FFFFFF"/>
        <w:snapToGrid w:val="0"/>
        <w:spacing w:line="540" w:lineRule="exact"/>
        <w:ind w:firstLine="640" w:firstLineChars="200"/>
        <w:contextualSpacing/>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通过绩效自评，园区202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年部门整体支出预算管理目标设定合理、绩效指标基本明确。在职人员和“三公经费”支出控制很好，预算收支管理规范，预算管理制度健全，信息公开及时，基本完成了年度工作任务与计划目标。</w:t>
      </w:r>
      <w:r>
        <w:rPr>
          <w:rFonts w:hint="eastAsia" w:ascii="仿宋_GB2312" w:hAnsi="Times New Roman" w:eastAsia="仿宋_GB2312" w:cs="Times New Roman"/>
          <w:sz w:val="32"/>
          <w:szCs w:val="32"/>
          <w:lang w:val="en-US" w:eastAsia="zh-CN"/>
        </w:rPr>
        <w:t>由于宏观经济大环境、区位差异、本地经济基数等条件影响，县级财力保障有限，</w:t>
      </w:r>
      <w:r>
        <w:rPr>
          <w:rFonts w:hint="eastAsia" w:ascii="仿宋_GB2312" w:hAnsi="Times New Roman" w:eastAsia="仿宋_GB2312" w:cs="Times New Roman"/>
          <w:sz w:val="32"/>
          <w:szCs w:val="32"/>
        </w:rPr>
        <w:t>存在</w:t>
      </w:r>
      <w:r>
        <w:rPr>
          <w:rFonts w:hint="eastAsia" w:ascii="仿宋_GB2312" w:hAnsi="Times New Roman" w:eastAsia="仿宋_GB2312" w:cs="Times New Roman"/>
          <w:sz w:val="32"/>
          <w:szCs w:val="32"/>
          <w:lang w:val="en-US" w:eastAsia="zh-CN"/>
        </w:rPr>
        <w:t>年初预算专用业务</w:t>
      </w:r>
      <w:r>
        <w:rPr>
          <w:rFonts w:hint="eastAsia" w:ascii="仿宋_GB2312" w:hAnsi="Times New Roman" w:eastAsia="仿宋_GB2312" w:cs="Times New Roman"/>
          <w:sz w:val="32"/>
          <w:szCs w:val="32"/>
        </w:rPr>
        <w:t>经费</w:t>
      </w:r>
      <w:r>
        <w:rPr>
          <w:rFonts w:hint="eastAsia" w:ascii="仿宋_GB2312" w:hAnsi="Times New Roman" w:eastAsia="仿宋_GB2312" w:cs="Times New Roman"/>
          <w:sz w:val="32"/>
          <w:szCs w:val="32"/>
          <w:lang w:val="en-US" w:eastAsia="zh-CN"/>
        </w:rPr>
        <w:t>到位率低</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导致部分业务工作拖欠费用较多</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直接降低园区服务经济建设发展质量，更导致部分工作无法如期开展，这些客观困难是拖累绩效分值主要因素。</w:t>
      </w:r>
    </w:p>
    <w:p>
      <w:pPr>
        <w:widowControl/>
        <w:shd w:val="clear" w:color="auto" w:fill="FFFFFF"/>
        <w:snapToGrid w:val="0"/>
        <w:spacing w:line="540" w:lineRule="exact"/>
        <w:ind w:firstLine="640" w:firstLineChars="200"/>
        <w:contextualSpacing/>
        <w:rPr>
          <w:rFonts w:ascii="Times New Roman" w:hAnsi="Times New Roman" w:eastAsia="楷体_GB2312" w:cs="Times New Roman"/>
          <w:b/>
          <w:bCs/>
          <w:color w:val="000000" w:themeColor="text1"/>
          <w:kern w:val="0"/>
          <w:sz w:val="32"/>
          <w:szCs w:val="32"/>
          <w14:textFill>
            <w14:solidFill>
              <w14:schemeClr w14:val="tx1"/>
            </w14:solidFill>
          </w14:textFill>
        </w:rPr>
      </w:pPr>
      <w:r>
        <w:rPr>
          <w:rFonts w:hint="eastAsia" w:ascii="黑体" w:hAnsi="黑体" w:eastAsia="黑体" w:cs="Times New Roman"/>
          <w:bCs/>
          <w:color w:val="000000" w:themeColor="text1"/>
          <w:kern w:val="0"/>
          <w:sz w:val="32"/>
          <w:szCs w:val="32"/>
          <w14:textFill>
            <w14:solidFill>
              <w14:schemeClr w14:val="tx1"/>
            </w14:solidFill>
          </w14:textFill>
        </w:rPr>
        <w:t>四、整体支出绩效目标实现情况</w:t>
      </w:r>
    </w:p>
    <w:p>
      <w:pPr>
        <w:widowControl/>
        <w:shd w:val="clear" w:color="auto" w:fill="FFFFFF"/>
        <w:snapToGrid w:val="0"/>
        <w:spacing w:line="540" w:lineRule="exact"/>
        <w:ind w:firstLine="640" w:firstLineChars="200"/>
        <w:contextualSpacing/>
        <w:rPr>
          <w:rFonts w:ascii="仿宋" w:hAnsi="仿宋" w:eastAsia="仿宋" w:cs="宋体"/>
          <w:b/>
          <w:bCs/>
          <w:color w:val="000000" w:themeColor="text1"/>
          <w:kern w:val="0"/>
          <w:sz w:val="32"/>
          <w:szCs w:val="32"/>
          <w14:textFill>
            <w14:solidFill>
              <w14:schemeClr w14:val="tx1"/>
            </w14:solidFill>
          </w14:textFill>
        </w:rPr>
      </w:pPr>
      <w:r>
        <w:rPr>
          <w:rFonts w:hint="eastAsia" w:ascii="Times New Roman" w:hAnsi="Times New Roman" w:eastAsia="楷体_GB2312" w:cs="Times New Roman"/>
          <w:bCs/>
          <w:color w:val="000000" w:themeColor="text1"/>
          <w:kern w:val="0"/>
          <w:sz w:val="32"/>
          <w:szCs w:val="32"/>
          <w14:textFill>
            <w14:solidFill>
              <w14:schemeClr w14:val="tx1"/>
            </w14:solidFill>
          </w14:textFill>
        </w:rPr>
        <w:t>（一）指标分析</w:t>
      </w:r>
    </w:p>
    <w:p>
      <w:pPr>
        <w:widowControl/>
        <w:shd w:val="clear" w:color="auto" w:fill="FFFFFF"/>
        <w:snapToGrid w:val="0"/>
        <w:spacing w:line="540" w:lineRule="exact"/>
        <w:ind w:firstLine="640" w:firstLineChars="200"/>
        <w:contextualSpacing/>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园区基本完成202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2</w:t>
      </w:r>
      <w:r>
        <w:rPr>
          <w:rFonts w:hint="eastAsia" w:ascii="仿宋_GB2312" w:hAnsi="Times New Roman" w:eastAsia="仿宋_GB2312" w:cs="Times New Roman"/>
          <w:color w:val="000000" w:themeColor="text1"/>
          <w:sz w:val="32"/>
          <w:szCs w:val="32"/>
          <w14:textFill>
            <w14:solidFill>
              <w14:schemeClr w14:val="tx1"/>
            </w14:solidFill>
          </w14:textFill>
        </w:rPr>
        <w:t>年度的各项目标任务，主要经济指标、重点项目建设任务、重点综合工作任务中有</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34</w:t>
      </w:r>
      <w:r>
        <w:rPr>
          <w:rFonts w:hint="eastAsia" w:ascii="仿宋_GB2312" w:hAnsi="Times New Roman" w:eastAsia="仿宋_GB2312" w:cs="Times New Roman"/>
          <w:color w:val="000000" w:themeColor="text1"/>
          <w:sz w:val="32"/>
          <w:szCs w:val="32"/>
          <w14:textFill>
            <w14:solidFill>
              <w14:schemeClr w14:val="tx1"/>
            </w14:solidFill>
          </w14:textFill>
        </w:rPr>
        <w:t>个绩效指标均已完成，1</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个绩效指标基本完成</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未完成7个绩效指标</w:t>
      </w:r>
      <w:r>
        <w:rPr>
          <w:rFonts w:hint="eastAsia" w:ascii="仿宋_GB2312" w:hAnsi="Times New Roman" w:eastAsia="仿宋_GB2312" w:cs="Times New Roman"/>
          <w:color w:val="000000" w:themeColor="text1"/>
          <w:sz w:val="32"/>
          <w:szCs w:val="32"/>
          <w14:textFill>
            <w14:solidFill>
              <w14:schemeClr w14:val="tx1"/>
            </w14:solidFill>
          </w14:textFill>
        </w:rPr>
        <w:t>。具体完成情况如下：</w:t>
      </w:r>
    </w:p>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1.已完成</w:t>
      </w:r>
      <w:r>
        <w:rPr>
          <w:rFonts w:hint="eastAsia" w:ascii="仿宋_GB2312" w:hAnsi="Times New Roman" w:eastAsia="仿宋_GB2312" w:cs="Times New Roman"/>
          <w:sz w:val="32"/>
          <w:szCs w:val="32"/>
          <w:lang w:val="en-US" w:eastAsia="zh-CN"/>
        </w:rPr>
        <w:t>34</w:t>
      </w:r>
      <w:r>
        <w:rPr>
          <w:rFonts w:hint="eastAsia" w:ascii="仿宋_GB2312" w:hAnsi="Times New Roman" w:eastAsia="仿宋_GB2312" w:cs="Times New Roman"/>
          <w:sz w:val="32"/>
          <w:szCs w:val="32"/>
        </w:rPr>
        <w:t>个绩效指标为100%，</w:t>
      </w:r>
      <w:r>
        <w:rPr>
          <w:rFonts w:hint="eastAsia" w:ascii="仿宋_GB2312" w:hAnsi="Times New Roman" w:eastAsia="仿宋_GB2312" w:cs="Times New Roman"/>
          <w:b/>
          <w:bCs/>
          <w:sz w:val="32"/>
          <w:szCs w:val="32"/>
          <w:lang w:val="en-US" w:eastAsia="zh-CN"/>
        </w:rPr>
        <w:t>一是</w:t>
      </w:r>
      <w:r>
        <w:rPr>
          <w:rFonts w:hint="eastAsia" w:ascii="仿宋_GB2312" w:hAnsi="Times New Roman" w:eastAsia="仿宋_GB2312" w:cs="Times New Roman"/>
          <w:sz w:val="32"/>
          <w:szCs w:val="32"/>
          <w:lang w:val="en-US" w:eastAsia="zh-CN"/>
        </w:rPr>
        <w:t>一级指标“投入”下的“目标设定”和“预算配置”里的“绩效目标合理性、绩效指标明确性、在职人员控制率、“三公经费”下降变动率”4个三级指标</w:t>
      </w:r>
      <w:r>
        <w:rPr>
          <w:rFonts w:hint="eastAsia" w:ascii="仿宋_GB2312" w:hAnsi="Times New Roman" w:eastAsia="仿宋_GB2312" w:cs="Times New Roman"/>
          <w:sz w:val="32"/>
          <w:szCs w:val="32"/>
        </w:rPr>
        <w:t>绩效目标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b/>
          <w:bCs/>
          <w:sz w:val="32"/>
          <w:szCs w:val="32"/>
          <w:lang w:val="en-US" w:eastAsia="zh-CN"/>
        </w:rPr>
        <w:t>二是</w:t>
      </w:r>
      <w:r>
        <w:rPr>
          <w:rFonts w:hint="eastAsia" w:ascii="仿宋_GB2312" w:hAnsi="Times New Roman" w:eastAsia="仿宋_GB2312" w:cs="Times New Roman"/>
          <w:sz w:val="32"/>
          <w:szCs w:val="32"/>
          <w:lang w:val="en-US" w:eastAsia="zh-CN"/>
        </w:rPr>
        <w:t>一级指标“过程”下的二级指标“预算执行、预算管理、资产管理”里的“预算完成率、预算调整率、公用经费控制率、管理制度健全性、资金使用合规性、预决算信息公开、基础信息完善、管理制度健全性、资产管理安全性”等9个三级指标；</w:t>
      </w:r>
      <w:r>
        <w:rPr>
          <w:rFonts w:hint="eastAsia" w:ascii="仿宋_GB2312" w:hAnsi="Times New Roman" w:eastAsia="仿宋_GB2312" w:cs="Times New Roman"/>
          <w:b/>
          <w:bCs/>
          <w:sz w:val="32"/>
          <w:szCs w:val="32"/>
          <w:lang w:val="en-US" w:eastAsia="zh-CN"/>
        </w:rPr>
        <w:t>三是</w:t>
      </w:r>
      <w:r>
        <w:rPr>
          <w:rFonts w:hint="eastAsia" w:ascii="仿宋_GB2312" w:hAnsi="Times New Roman" w:eastAsia="仿宋_GB2312" w:cs="Times New Roman"/>
          <w:b w:val="0"/>
          <w:bCs w:val="0"/>
          <w:sz w:val="32"/>
          <w:szCs w:val="32"/>
          <w:lang w:val="en-US" w:eastAsia="zh-CN"/>
        </w:rPr>
        <w:t>一级指标“产出指标”下的“服务企业党支部数、整治和监管坝区土地面积、保障职工工资人数、执行省州招商政策方向、引进企业经济活动类型、引进企业主要生产要素类型、清理低效僵尸企业程序正确率、“三公”经费支出额度控制率、整治和监管坝区土地工作费用、清理低效僵尸企业费用、保障职工工资与公用经费、“三公”经费支出额、整治和监管坝区土地工作费用、清理低效僵尸企业费用、保障职工工资与公用经费、金宇公司财务审计费”等13个三级指标；</w:t>
      </w:r>
      <w:r>
        <w:rPr>
          <w:rFonts w:hint="eastAsia" w:ascii="仿宋_GB2312" w:hAnsi="Times New Roman" w:eastAsia="仿宋_GB2312" w:cs="Times New Roman"/>
          <w:b/>
          <w:bCs/>
          <w:sz w:val="32"/>
          <w:szCs w:val="32"/>
          <w:lang w:val="en-US" w:eastAsia="zh-CN"/>
        </w:rPr>
        <w:t>四是</w:t>
      </w:r>
      <w:r>
        <w:rPr>
          <w:rFonts w:hint="eastAsia" w:ascii="仿宋_GB2312" w:hAnsi="Times New Roman" w:eastAsia="仿宋_GB2312" w:cs="Times New Roman"/>
          <w:b w:val="0"/>
          <w:bCs w:val="0"/>
          <w:sz w:val="32"/>
          <w:szCs w:val="32"/>
          <w:lang w:val="en-US" w:eastAsia="zh-CN"/>
        </w:rPr>
        <w:t>一级指标“效益”下的“盘活园区厂房土地使用率、工业固定资产投资同比增长率、阻止车江坝区基本农田非粮化率、企业党建工作成效、教育园区（金宇公司）干部提升依法行政意识、车江坝区基本农田保护有效期、清理低效僵尸企业范围及时效”等7个三级指标；五是一级指标“满意度”下的1个“坝区被征地农民对坝区指挥部工作满意度”指标。</w:t>
      </w:r>
    </w:p>
    <w:p>
      <w:pPr>
        <w:widowControl/>
        <w:shd w:val="clear" w:color="auto" w:fill="FFFFFF"/>
        <w:snapToGrid w:val="0"/>
        <w:spacing w:line="540" w:lineRule="exact"/>
        <w:ind w:firstLine="640" w:firstLineChars="200"/>
        <w:contextualSpacing/>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sz w:val="32"/>
          <w:szCs w:val="32"/>
        </w:rPr>
        <w:t>2.基本完成或部分完成</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完成50%以上小于100%</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的</w:t>
      </w:r>
      <w:r>
        <w:rPr>
          <w:rFonts w:hint="eastAsia" w:ascii="仿宋_GB2312" w:hAnsi="Times New Roman" w:eastAsia="仿宋_GB2312" w:cs="Times New Roman"/>
          <w:sz w:val="32"/>
          <w:szCs w:val="32"/>
          <w:lang w:val="en-US" w:eastAsia="zh-CN"/>
        </w:rPr>
        <w:t>13</w:t>
      </w:r>
      <w:r>
        <w:rPr>
          <w:rFonts w:hint="eastAsia" w:ascii="仿宋_GB2312" w:hAnsi="Times New Roman" w:eastAsia="仿宋_GB2312" w:cs="Times New Roman"/>
          <w:sz w:val="32"/>
          <w:szCs w:val="32"/>
        </w:rPr>
        <w:t>个绩效指标分别是：</w:t>
      </w:r>
      <w:r>
        <w:rPr>
          <w:rFonts w:hint="eastAsia" w:ascii="仿宋_GB2312" w:hAnsi="Times New Roman" w:eastAsia="仿宋_GB2312" w:cs="Times New Roman"/>
          <w:b/>
          <w:bCs/>
          <w:sz w:val="32"/>
          <w:szCs w:val="32"/>
          <w:lang w:val="en-US" w:eastAsia="zh-CN"/>
        </w:rPr>
        <w:t>一是</w:t>
      </w:r>
      <w:r>
        <w:rPr>
          <w:rFonts w:hint="eastAsia" w:ascii="仿宋_GB2312" w:hAnsi="Times New Roman" w:eastAsia="仿宋_GB2312" w:cs="Times New Roman"/>
          <w:sz w:val="32"/>
          <w:szCs w:val="32"/>
          <w:lang w:val="en-US" w:eastAsia="zh-CN"/>
        </w:rPr>
        <w:t>一级指标“投入”下的“预算配置”里的重点支出安排率2分扣1分，原因是年中县财政收回部分专项资金</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b/>
          <w:bCs/>
          <w:sz w:val="32"/>
          <w:szCs w:val="32"/>
          <w:lang w:val="en-US" w:eastAsia="zh-CN"/>
        </w:rPr>
        <w:t>二是</w:t>
      </w:r>
      <w:r>
        <w:rPr>
          <w:rFonts w:hint="eastAsia" w:ascii="仿宋_GB2312" w:hAnsi="Times New Roman" w:eastAsia="仿宋_GB2312" w:cs="Times New Roman"/>
          <w:sz w:val="32"/>
          <w:szCs w:val="32"/>
          <w:lang w:val="en-US" w:eastAsia="zh-CN"/>
        </w:rPr>
        <w:t>一级指标“过程”下的二级指标“预算执行率达67.99%（6分扣2.5）、资金到位率达67.99%（1分扣0.3）、固定资产利用率约90%（1分扣0.1）”等3个三级指标分别扣分；</w:t>
      </w:r>
      <w:r>
        <w:rPr>
          <w:rFonts w:hint="eastAsia" w:ascii="仿宋_GB2312" w:hAnsi="Times New Roman" w:eastAsia="仿宋_GB2312" w:cs="Times New Roman"/>
          <w:b/>
          <w:bCs/>
          <w:sz w:val="32"/>
          <w:szCs w:val="32"/>
          <w:lang w:val="en-US" w:eastAsia="zh-CN"/>
        </w:rPr>
        <w:t>三是</w:t>
      </w:r>
      <w:r>
        <w:rPr>
          <w:rFonts w:hint="eastAsia" w:ascii="仿宋_GB2312" w:hAnsi="Times New Roman" w:eastAsia="仿宋_GB2312" w:cs="Times New Roman"/>
          <w:b w:val="0"/>
          <w:bCs w:val="0"/>
          <w:sz w:val="32"/>
          <w:szCs w:val="32"/>
          <w:lang w:val="en-US" w:eastAsia="zh-CN"/>
        </w:rPr>
        <w:t>一级指标“产出指标”下的“招商入驻企业数（扣1分）、招商入驻企业数完成时限（2分扣0.5）、清理低效僵尸企业完成时限（2分扣0.5）、投资签约资金到位时限（2分扣1分）”等4个三级指标；</w:t>
      </w:r>
      <w:r>
        <w:rPr>
          <w:rFonts w:hint="eastAsia" w:ascii="仿宋_GB2312" w:hAnsi="Times New Roman" w:eastAsia="仿宋_GB2312" w:cs="Times New Roman"/>
          <w:b/>
          <w:bCs/>
          <w:sz w:val="32"/>
          <w:szCs w:val="32"/>
          <w:lang w:val="en-US" w:eastAsia="zh-CN"/>
        </w:rPr>
        <w:t>四是</w:t>
      </w:r>
      <w:r>
        <w:rPr>
          <w:rFonts w:hint="eastAsia" w:ascii="仿宋_GB2312" w:hAnsi="Times New Roman" w:eastAsia="仿宋_GB2312" w:cs="Times New Roman"/>
          <w:b w:val="0"/>
          <w:bCs w:val="0"/>
          <w:sz w:val="32"/>
          <w:szCs w:val="32"/>
          <w:lang w:val="en-US" w:eastAsia="zh-CN"/>
        </w:rPr>
        <w:t>一级指标“效益”下的“工业园区企业年度上缴税费（5分扣2）、降低园区（金宇公司）坏账率（2分扣0.5）、企业排污治理率（2分扣0.4）”3个三级指标；</w:t>
      </w:r>
      <w:r>
        <w:rPr>
          <w:rFonts w:hint="eastAsia" w:ascii="仿宋_GB2312" w:hAnsi="Times New Roman" w:eastAsia="仿宋_GB2312" w:cs="Times New Roman"/>
          <w:b/>
          <w:bCs/>
          <w:sz w:val="32"/>
          <w:szCs w:val="32"/>
          <w:lang w:val="en-US" w:eastAsia="zh-CN"/>
        </w:rPr>
        <w:t>五是</w:t>
      </w:r>
      <w:r>
        <w:rPr>
          <w:rFonts w:hint="eastAsia" w:ascii="仿宋_GB2312" w:hAnsi="Times New Roman" w:eastAsia="仿宋_GB2312" w:cs="Times New Roman"/>
          <w:b w:val="0"/>
          <w:bCs w:val="0"/>
          <w:sz w:val="32"/>
          <w:szCs w:val="32"/>
          <w:lang w:val="en-US" w:eastAsia="zh-CN"/>
        </w:rPr>
        <w:t>一级指标“满意度”下的“被拖欠工资农民工对维权满意度（4分扣1分）、入驻工业园区企业营商满意度（5分扣1分）”2个三级指标。</w:t>
      </w:r>
    </w:p>
    <w:p>
      <w:pPr>
        <w:widowControl/>
        <w:shd w:val="clear" w:color="auto" w:fill="FFFFFF"/>
        <w:snapToGrid w:val="0"/>
        <w:spacing w:line="540" w:lineRule="exact"/>
        <w:ind w:firstLine="640" w:firstLineChars="200"/>
        <w:contextualSpacing/>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sz w:val="32"/>
          <w:szCs w:val="32"/>
          <w:lang w:val="en-US" w:eastAsia="zh-CN"/>
        </w:rPr>
        <w:t>3.未完成工作指标（完成率小于50%以下）7个分别是：</w:t>
      </w:r>
      <w:r>
        <w:rPr>
          <w:rFonts w:hint="eastAsia" w:ascii="仿宋_GB2312" w:hAnsi="Times New Roman" w:eastAsia="仿宋_GB2312" w:cs="Times New Roman"/>
          <w:b/>
          <w:bCs/>
          <w:sz w:val="32"/>
          <w:szCs w:val="32"/>
          <w:lang w:val="en-US" w:eastAsia="zh-CN"/>
        </w:rPr>
        <w:t>一是</w:t>
      </w:r>
      <w:r>
        <w:rPr>
          <w:rFonts w:hint="eastAsia" w:ascii="仿宋_GB2312" w:hAnsi="Times New Roman" w:eastAsia="仿宋_GB2312" w:cs="Times New Roman"/>
          <w:sz w:val="32"/>
          <w:szCs w:val="32"/>
          <w:lang w:val="en-US" w:eastAsia="zh-CN"/>
        </w:rPr>
        <w:t>一级指标</w:t>
      </w:r>
      <w:r>
        <w:rPr>
          <w:rFonts w:hint="eastAsia" w:ascii="仿宋_GB2312" w:hAnsi="Times New Roman" w:eastAsia="仿宋_GB2312" w:cs="Times New Roman"/>
          <w:b w:val="0"/>
          <w:bCs w:val="0"/>
          <w:sz w:val="32"/>
          <w:szCs w:val="32"/>
          <w:lang w:val="en-US" w:eastAsia="zh-CN"/>
        </w:rPr>
        <w:t>“产出指标”下的“清理低效僵尸企业数（3分扣2.5）、园区企业新增就业岗位（2分扣1.5）、投资签约资金任务（3分扣2分）、工业增加值同比增长（2分扣2）、培育上规企业数（2分扣1.1）”等5个三级指标；</w:t>
      </w:r>
      <w:r>
        <w:rPr>
          <w:rFonts w:hint="eastAsia" w:ascii="仿宋_GB2312" w:hAnsi="Times New Roman" w:eastAsia="仿宋_GB2312" w:cs="Times New Roman"/>
          <w:b/>
          <w:bCs/>
          <w:sz w:val="32"/>
          <w:szCs w:val="32"/>
          <w:lang w:val="en-US" w:eastAsia="zh-CN"/>
        </w:rPr>
        <w:t>二是</w:t>
      </w:r>
      <w:r>
        <w:rPr>
          <w:rFonts w:hint="eastAsia" w:ascii="仿宋_GB2312" w:hAnsi="Times New Roman" w:eastAsia="仿宋_GB2312" w:cs="Times New Roman"/>
          <w:b w:val="0"/>
          <w:bCs w:val="0"/>
          <w:sz w:val="32"/>
          <w:szCs w:val="32"/>
          <w:lang w:val="en-US" w:eastAsia="zh-CN"/>
        </w:rPr>
        <w:t>一级指标“效益”下的“工业增加值同比增长率（2分扣2）、园区企业新增劳动力就业人数（2分扣1.5）”等2个三级指标。</w:t>
      </w:r>
    </w:p>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综上所述，202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年整体支出绩效自评总扣分</w:t>
      </w:r>
      <w:r>
        <w:rPr>
          <w:rFonts w:hint="eastAsia" w:ascii="仿宋_GB2312" w:hAnsi="Times New Roman" w:eastAsia="仿宋_GB2312" w:cs="Times New Roman"/>
          <w:sz w:val="32"/>
          <w:szCs w:val="32"/>
          <w:lang w:val="en-US" w:eastAsia="zh-CN"/>
        </w:rPr>
        <w:t>24.9</w:t>
      </w:r>
      <w:r>
        <w:rPr>
          <w:rFonts w:hint="eastAsia" w:ascii="仿宋_GB2312" w:hAnsi="Times New Roman" w:eastAsia="仿宋_GB2312" w:cs="Times New Roman"/>
          <w:sz w:val="32"/>
          <w:szCs w:val="32"/>
        </w:rPr>
        <w:t>分，总得分</w:t>
      </w:r>
      <w:r>
        <w:rPr>
          <w:rFonts w:hint="eastAsia" w:ascii="仿宋_GB2312" w:hAnsi="Times New Roman" w:eastAsia="仿宋_GB2312" w:cs="Times New Roman"/>
          <w:sz w:val="32"/>
          <w:szCs w:val="32"/>
          <w:lang w:val="en-US" w:eastAsia="zh-CN"/>
        </w:rPr>
        <w:t>75.1</w:t>
      </w:r>
      <w:r>
        <w:rPr>
          <w:rFonts w:hint="eastAsia" w:ascii="仿宋_GB2312" w:hAnsi="Times New Roman" w:eastAsia="仿宋_GB2312" w:cs="Times New Roman"/>
          <w:sz w:val="32"/>
          <w:szCs w:val="32"/>
        </w:rPr>
        <w:t>分。</w:t>
      </w:r>
    </w:p>
    <w:p>
      <w:pPr>
        <w:widowControl/>
        <w:shd w:val="clear" w:color="auto" w:fill="FFFFFF"/>
        <w:snapToGrid w:val="0"/>
        <w:spacing w:line="540" w:lineRule="exact"/>
        <w:ind w:firstLine="640" w:firstLineChars="200"/>
        <w:contextualSpacing/>
        <w:rPr>
          <w:rFonts w:ascii="Times New Roman" w:hAnsi="Times New Roman" w:eastAsia="楷体_GB2312" w:cs="Times New Roman"/>
          <w:bCs/>
          <w:kern w:val="0"/>
          <w:sz w:val="32"/>
          <w:szCs w:val="32"/>
          <w:highlight w:val="none"/>
        </w:rPr>
      </w:pPr>
      <w:r>
        <w:rPr>
          <w:rFonts w:hint="eastAsia" w:ascii="Times New Roman" w:hAnsi="Times New Roman" w:eastAsia="楷体_GB2312" w:cs="Times New Roman"/>
          <w:bCs/>
          <w:kern w:val="0"/>
          <w:sz w:val="32"/>
          <w:szCs w:val="32"/>
          <w:highlight w:val="none"/>
        </w:rPr>
        <w:t>（二）综合绩效分析</w:t>
      </w:r>
    </w:p>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highlight w:val="none"/>
        </w:rPr>
      </w:pPr>
      <w:r>
        <w:rPr>
          <w:rFonts w:hint="eastAsia" w:ascii="仿宋" w:hAnsi="仿宋" w:eastAsia="仿宋" w:cs="仿宋"/>
          <w:kern w:val="0"/>
          <w:sz w:val="32"/>
          <w:szCs w:val="32"/>
          <w:highlight w:val="none"/>
        </w:rPr>
        <w:t>1</w:t>
      </w:r>
      <w:r>
        <w:rPr>
          <w:rFonts w:hint="eastAsia" w:ascii="仿宋_GB2312" w:hAnsi="Times New Roman" w:eastAsia="仿宋_GB2312" w:cs="Times New Roman"/>
          <w:sz w:val="32"/>
          <w:szCs w:val="32"/>
          <w:highlight w:val="none"/>
        </w:rPr>
        <w:t>.职能履行情况。保障工业园区管理委员会工作的正常运转、完成县委政府工作考核任务，计划完成工业固定资产投入增加5个亿，工业增加值同比增长5亿元以上，新增入园企业8-10户，培育上规企业任务11户，清理低效僵尸企业数14家以上，新增就业岗位1000个以上，督促坝区耕地管护，完成上交党组交办任务。</w:t>
      </w:r>
    </w:p>
    <w:p>
      <w:pPr>
        <w:widowControl/>
        <w:shd w:val="clear" w:color="auto" w:fill="FFFFFF"/>
        <w:snapToGrid w:val="0"/>
        <w:spacing w:line="540" w:lineRule="exact"/>
        <w:ind w:firstLine="640" w:firstLineChars="200"/>
        <w:contextualSpacing/>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2.工作总结完成情况：年末规上企业26家，累计完成规模以上工业总产值14.97亿元，同比减少9.62%；规模以上主导产业产值10.16亿元，占规模以上工业总产值的比重达67.87%；完成规模以上工业增加值2.7亿元，增加值增长量下降0.31亿元，工业增加值同比减少10%；工业固定资产投资3.91亿元，同比增长554.14%；解决直接就业人数5705人，净缴税款0.42亿元；完成清理僵尸企业12家</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清理厂房面积28728平方米；培育上规企业任务5户。</w:t>
      </w:r>
    </w:p>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3.职能实现程度。年初所拟定的“投入</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过程</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目标任务完成效果好。“</w:t>
      </w:r>
      <w:r>
        <w:rPr>
          <w:rFonts w:hint="eastAsia" w:ascii="仿宋_GB2312" w:hAnsi="Times New Roman" w:eastAsia="仿宋_GB2312" w:cs="Times New Roman"/>
          <w:sz w:val="32"/>
          <w:szCs w:val="32"/>
          <w:highlight w:val="none"/>
        </w:rPr>
        <w:t>产出</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任务受地方财力和宏观经济环境影响，部分完成，其中主要经济指标如增长率为达标。“</w:t>
      </w:r>
      <w:r>
        <w:rPr>
          <w:rFonts w:hint="eastAsia" w:ascii="仿宋_GB2312" w:hAnsi="Times New Roman" w:eastAsia="仿宋_GB2312" w:cs="Times New Roman"/>
          <w:sz w:val="32"/>
          <w:szCs w:val="32"/>
          <w:highlight w:val="none"/>
        </w:rPr>
        <w:t>效益和满意度”的各项目标任务已完成</w:t>
      </w:r>
      <w:r>
        <w:rPr>
          <w:rFonts w:hint="eastAsia" w:ascii="仿宋_GB2312" w:hAnsi="Times New Roman" w:eastAsia="仿宋_GB2312" w:cs="Times New Roman"/>
          <w:sz w:val="32"/>
          <w:szCs w:val="32"/>
          <w:highlight w:val="none"/>
          <w:lang w:val="en-US" w:eastAsia="zh-CN"/>
        </w:rPr>
        <w:t>较好</w:t>
      </w:r>
      <w:r>
        <w:rPr>
          <w:rFonts w:hint="eastAsia" w:ascii="仿宋_GB2312" w:hAnsi="Times New Roman" w:eastAsia="仿宋_GB2312" w:cs="Times New Roman"/>
          <w:sz w:val="32"/>
          <w:szCs w:val="32"/>
          <w:highlight w:val="none"/>
        </w:rPr>
        <w:t>，部门整体绩效管理水平效果</w:t>
      </w:r>
      <w:r>
        <w:rPr>
          <w:rFonts w:hint="eastAsia" w:ascii="仿宋_GB2312" w:hAnsi="Times New Roman" w:eastAsia="仿宋_GB2312" w:cs="Times New Roman"/>
          <w:sz w:val="32"/>
          <w:szCs w:val="32"/>
          <w:highlight w:val="none"/>
          <w:lang w:val="en-US" w:eastAsia="zh-CN"/>
        </w:rPr>
        <w:t>合格</w:t>
      </w:r>
      <w:r>
        <w:rPr>
          <w:rFonts w:hint="eastAsia" w:ascii="仿宋_GB2312" w:hAnsi="Times New Roman" w:eastAsia="仿宋_GB2312" w:cs="Times New Roman"/>
          <w:sz w:val="32"/>
          <w:szCs w:val="32"/>
          <w:highlight w:val="none"/>
        </w:rPr>
        <w:t>。</w:t>
      </w:r>
    </w:p>
    <w:p>
      <w:pPr>
        <w:widowControl/>
        <w:shd w:val="clear" w:color="auto" w:fill="FFFFFF"/>
        <w:snapToGrid w:val="0"/>
        <w:spacing w:line="540" w:lineRule="exact"/>
        <w:ind w:firstLine="640" w:firstLineChars="200"/>
        <w:contextualSpacing/>
        <w:rPr>
          <w:rFonts w:ascii="黑体" w:hAnsi="黑体" w:eastAsia="黑体" w:cs="Times New Roman"/>
          <w:bCs/>
          <w:color w:val="000000" w:themeColor="text1"/>
          <w:kern w:val="0"/>
          <w:sz w:val="32"/>
          <w:szCs w:val="32"/>
          <w14:textFill>
            <w14:solidFill>
              <w14:schemeClr w14:val="tx1"/>
            </w14:solidFill>
          </w14:textFill>
        </w:rPr>
      </w:pPr>
      <w:r>
        <w:rPr>
          <w:rFonts w:hint="eastAsia" w:ascii="黑体" w:hAnsi="黑体" w:eastAsia="黑体" w:cs="Times New Roman"/>
          <w:bCs/>
          <w:color w:val="000000" w:themeColor="text1"/>
          <w:kern w:val="0"/>
          <w:sz w:val="32"/>
          <w:szCs w:val="32"/>
          <w14:textFill>
            <w14:solidFill>
              <w14:schemeClr w14:val="tx1"/>
            </w14:solidFill>
          </w14:textFill>
        </w:rPr>
        <w:t>五、存在的问题和改进措施</w:t>
      </w:r>
    </w:p>
    <w:p>
      <w:pPr>
        <w:widowControl/>
        <w:shd w:val="clear" w:color="auto" w:fill="FFFFFF"/>
        <w:snapToGrid w:val="0"/>
        <w:spacing w:line="540" w:lineRule="exact"/>
        <w:ind w:firstLine="640" w:firstLineChars="200"/>
        <w:contextualSpacing/>
        <w:rPr>
          <w:rFonts w:ascii="Times New Roman" w:hAnsi="Times New Roman" w:eastAsia="楷体_GB2312" w:cs="Times New Roman"/>
          <w:bCs/>
          <w:color w:val="000000" w:themeColor="text1"/>
          <w:kern w:val="0"/>
          <w:sz w:val="32"/>
          <w:szCs w:val="32"/>
          <w14:textFill>
            <w14:solidFill>
              <w14:schemeClr w14:val="tx1"/>
            </w14:solidFill>
          </w14:textFill>
        </w:rPr>
      </w:pPr>
      <w:r>
        <w:rPr>
          <w:rFonts w:hint="eastAsia" w:ascii="Times New Roman" w:hAnsi="Times New Roman" w:eastAsia="楷体_GB2312" w:cs="Times New Roman"/>
          <w:bCs/>
          <w:color w:val="000000" w:themeColor="text1"/>
          <w:kern w:val="0"/>
          <w:sz w:val="32"/>
          <w:szCs w:val="32"/>
          <w14:textFill>
            <w14:solidFill>
              <w14:schemeClr w14:val="tx1"/>
            </w14:solidFill>
          </w14:textFill>
        </w:rPr>
        <w:t>（一）主要经验及做法</w:t>
      </w:r>
    </w:p>
    <w:p>
      <w:pPr>
        <w:widowControl/>
        <w:shd w:val="clear" w:color="auto" w:fill="FFFFFF"/>
        <w:snapToGrid w:val="0"/>
        <w:spacing w:line="540" w:lineRule="exact"/>
        <w:contextualSpacing/>
        <w:rPr>
          <w:rFonts w:ascii="仿宋_GB2312" w:hAnsi="Times New Roman" w:eastAsia="仿宋_GB2312" w:cs="Times New Roman"/>
          <w:sz w:val="32"/>
          <w:szCs w:val="32"/>
        </w:rPr>
      </w:pPr>
      <w:r>
        <w:rPr>
          <w:rFonts w:hint="eastAsia" w:ascii="仿宋" w:hAnsi="仿宋" w:eastAsia="仿宋" w:cs="宋体"/>
          <w:kern w:val="0"/>
          <w:sz w:val="32"/>
          <w:szCs w:val="32"/>
        </w:rPr>
        <w:t>　　1</w:t>
      </w:r>
      <w:r>
        <w:rPr>
          <w:rFonts w:hint="eastAsia" w:ascii="仿宋_GB2312" w:hAnsi="Times New Roman" w:eastAsia="仿宋_GB2312" w:cs="Times New Roman"/>
          <w:sz w:val="32"/>
          <w:szCs w:val="32"/>
        </w:rPr>
        <w:t>.强化预算编制与管理，坚持用必问效的原则。</w:t>
      </w:r>
    </w:p>
    <w:p>
      <w:pPr>
        <w:widowControl/>
        <w:shd w:val="clear" w:color="auto" w:fill="FFFFFF"/>
        <w:snapToGrid w:val="0"/>
        <w:spacing w:line="540" w:lineRule="exact"/>
        <w:ind w:firstLine="64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2.加强宣传与执行力度，杜绝有制度不执行的情况。</w:t>
      </w:r>
    </w:p>
    <w:p>
      <w:pPr>
        <w:widowControl/>
        <w:shd w:val="clear" w:color="auto" w:fill="FFFFFF"/>
        <w:snapToGrid w:val="0"/>
        <w:spacing w:line="540" w:lineRule="exact"/>
        <w:ind w:firstLine="64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3.加强组织领导和工作协调，为绩效评价提供保障。</w:t>
      </w:r>
    </w:p>
    <w:p>
      <w:pPr>
        <w:widowControl/>
        <w:shd w:val="clear" w:color="auto" w:fill="FFFFFF"/>
        <w:snapToGrid w:val="0"/>
        <w:spacing w:line="540" w:lineRule="exact"/>
        <w:ind w:firstLine="640" w:firstLineChars="200"/>
        <w:contextualSpacing/>
        <w:rPr>
          <w:rFonts w:ascii="Times New Roman" w:hAnsi="Times New Roman" w:eastAsia="楷体_GB2312" w:cs="Times New Roman"/>
          <w:bCs/>
          <w:kern w:val="0"/>
          <w:sz w:val="32"/>
          <w:szCs w:val="32"/>
        </w:rPr>
      </w:pPr>
      <w:r>
        <w:rPr>
          <w:rFonts w:hint="eastAsia" w:ascii="Times New Roman" w:hAnsi="Times New Roman" w:eastAsia="楷体_GB2312" w:cs="Times New Roman"/>
          <w:bCs/>
          <w:kern w:val="0"/>
          <w:sz w:val="32"/>
          <w:szCs w:val="32"/>
        </w:rPr>
        <w:t>（二）存在问题及原因分析</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default" w:ascii="Times New Roman" w:hAnsi="Times New Roman" w:eastAsia="仿宋_GB2312" w:cs="Times New Roman"/>
          <w:color w:val="000000"/>
          <w:kern w:val="0"/>
          <w:sz w:val="31"/>
          <w:szCs w:val="31"/>
          <w:lang w:val="en-US" w:eastAsia="zh-CN"/>
        </w:rPr>
      </w:pPr>
      <w:r>
        <w:rPr>
          <w:rFonts w:hint="eastAsia" w:ascii="Times New Roman" w:hAnsi="Times New Roman" w:eastAsia="仿宋_GB2312" w:cs="Times New Roman"/>
          <w:color w:val="000000"/>
          <w:kern w:val="0"/>
          <w:sz w:val="31"/>
          <w:szCs w:val="31"/>
          <w:lang w:val="en-US" w:eastAsia="zh-CN"/>
        </w:rPr>
        <w:t>1.产业集聚发展程度低</w:t>
      </w:r>
      <w:r>
        <w:rPr>
          <w:rFonts w:hint="default" w:ascii="Times New Roman" w:hAnsi="Times New Roman" w:eastAsia="仿宋_GB2312" w:cs="Times New Roman"/>
          <w:color w:val="000000"/>
          <w:kern w:val="0"/>
          <w:sz w:val="31"/>
          <w:szCs w:val="31"/>
          <w:lang w:val="en-US" w:eastAsia="zh-CN"/>
        </w:rPr>
        <w:t>。</w:t>
      </w:r>
      <w:r>
        <w:rPr>
          <w:rFonts w:hint="eastAsia" w:ascii="仿宋_GB2312" w:hAnsi="仿宋_GB2312" w:eastAsia="仿宋_GB2312" w:cs="仿宋_GB2312"/>
          <w:b/>
          <w:bCs/>
          <w:sz w:val="32"/>
          <w:szCs w:val="32"/>
          <w:lang w:val="en-US" w:eastAsia="zh-CN"/>
        </w:rPr>
        <w:t>一是</w:t>
      </w:r>
      <w:r>
        <w:rPr>
          <w:rFonts w:hint="default" w:ascii="Times New Roman" w:hAnsi="Times New Roman" w:eastAsia="仿宋_GB2312" w:cs="Times New Roman"/>
          <w:color w:val="000000"/>
          <w:kern w:val="0"/>
          <w:sz w:val="31"/>
          <w:szCs w:val="31"/>
          <w:lang w:val="en-US" w:eastAsia="zh-CN"/>
        </w:rPr>
        <w:t>园区工业企业规模</w:t>
      </w:r>
      <w:r>
        <w:rPr>
          <w:rFonts w:hint="eastAsia" w:ascii="Times New Roman" w:hAnsi="Times New Roman" w:eastAsia="仿宋_GB2312" w:cs="Times New Roman"/>
          <w:color w:val="000000"/>
          <w:kern w:val="0"/>
          <w:sz w:val="31"/>
          <w:szCs w:val="31"/>
          <w:lang w:val="en-US" w:eastAsia="zh-CN"/>
        </w:rPr>
        <w:t>小。目前</w:t>
      </w:r>
      <w:r>
        <w:rPr>
          <w:rFonts w:hint="default" w:ascii="Times New Roman" w:hAnsi="Times New Roman" w:eastAsia="仿宋_GB2312" w:cs="Times New Roman"/>
          <w:color w:val="000000"/>
          <w:kern w:val="0"/>
          <w:sz w:val="31"/>
          <w:szCs w:val="31"/>
          <w:lang w:val="en-US" w:eastAsia="zh-CN"/>
        </w:rPr>
        <w:t>规上</w:t>
      </w:r>
      <w:r>
        <w:rPr>
          <w:rFonts w:hint="eastAsia" w:ascii="Times New Roman" w:hAnsi="Times New Roman" w:eastAsia="仿宋_GB2312" w:cs="Times New Roman"/>
          <w:color w:val="000000"/>
          <w:kern w:val="0"/>
          <w:sz w:val="31"/>
          <w:szCs w:val="31"/>
          <w:lang w:val="en-US" w:eastAsia="zh-CN"/>
        </w:rPr>
        <w:t>企业</w:t>
      </w:r>
      <w:r>
        <w:rPr>
          <w:rFonts w:hint="default" w:ascii="Times New Roman" w:hAnsi="Times New Roman" w:eastAsia="仿宋_GB2312" w:cs="Times New Roman"/>
          <w:color w:val="000000"/>
          <w:kern w:val="0"/>
          <w:sz w:val="31"/>
          <w:szCs w:val="31"/>
          <w:lang w:val="en-US" w:eastAsia="zh-CN"/>
        </w:rPr>
        <w:t>只有</w:t>
      </w:r>
      <w:r>
        <w:rPr>
          <w:rFonts w:hint="eastAsia" w:ascii="Times New Roman" w:hAnsi="Times New Roman" w:cs="Times New Roman"/>
          <w:color w:val="000000"/>
          <w:kern w:val="0"/>
          <w:sz w:val="31"/>
          <w:szCs w:val="31"/>
          <w:lang w:val="en-US" w:eastAsia="zh-CN"/>
        </w:rPr>
        <w:t>31</w:t>
      </w:r>
      <w:r>
        <w:rPr>
          <w:rFonts w:hint="default" w:ascii="Times New Roman" w:hAnsi="Times New Roman" w:eastAsia="仿宋_GB2312" w:cs="Times New Roman"/>
          <w:color w:val="000000"/>
          <w:kern w:val="0"/>
          <w:sz w:val="31"/>
          <w:szCs w:val="31"/>
          <w:lang w:val="en-US" w:eastAsia="zh-CN"/>
        </w:rPr>
        <w:t>家，其中</w:t>
      </w:r>
      <w:r>
        <w:rPr>
          <w:rFonts w:hint="eastAsia" w:ascii="Times New Roman" w:hAnsi="Times New Roman" w:eastAsia="仿宋_GB2312" w:cs="Times New Roman"/>
          <w:color w:val="000000"/>
          <w:kern w:val="0"/>
          <w:sz w:val="31"/>
          <w:szCs w:val="31"/>
          <w:lang w:val="en-US" w:eastAsia="zh-CN"/>
        </w:rPr>
        <w:t>，</w:t>
      </w:r>
      <w:r>
        <w:rPr>
          <w:rFonts w:hint="default" w:ascii="Times New Roman" w:hAnsi="Times New Roman" w:eastAsia="仿宋_GB2312" w:cs="Times New Roman"/>
          <w:color w:val="000000"/>
          <w:kern w:val="0"/>
          <w:sz w:val="31"/>
          <w:szCs w:val="31"/>
          <w:lang w:val="en-US" w:eastAsia="zh-CN"/>
        </w:rPr>
        <w:t>亿元</w:t>
      </w:r>
      <w:r>
        <w:rPr>
          <w:rFonts w:hint="eastAsia" w:ascii="Times New Roman" w:hAnsi="Times New Roman" w:eastAsia="仿宋_GB2312" w:cs="Times New Roman"/>
          <w:color w:val="000000"/>
          <w:kern w:val="0"/>
          <w:sz w:val="31"/>
          <w:szCs w:val="31"/>
          <w:lang w:val="en-US" w:eastAsia="zh-CN"/>
        </w:rPr>
        <w:t>企业</w:t>
      </w:r>
      <w:r>
        <w:rPr>
          <w:rFonts w:hint="default" w:ascii="Times New Roman" w:hAnsi="Times New Roman" w:eastAsia="仿宋_GB2312" w:cs="Times New Roman"/>
          <w:color w:val="000000"/>
          <w:kern w:val="0"/>
          <w:sz w:val="31"/>
          <w:szCs w:val="31"/>
          <w:lang w:val="en-US" w:eastAsia="zh-CN"/>
        </w:rPr>
        <w:t>只有</w:t>
      </w:r>
      <w:r>
        <w:rPr>
          <w:rFonts w:hint="default" w:ascii="Times New Roman" w:hAnsi="Times New Roman" w:eastAsia="宋体" w:cs="Times New Roman"/>
          <w:color w:val="000000"/>
          <w:kern w:val="0"/>
          <w:sz w:val="31"/>
          <w:szCs w:val="31"/>
          <w:lang w:val="en-US" w:eastAsia="zh-CN"/>
        </w:rPr>
        <w:t>3</w:t>
      </w:r>
      <w:r>
        <w:rPr>
          <w:rFonts w:hint="default" w:ascii="Times New Roman" w:hAnsi="Times New Roman" w:eastAsia="仿宋_GB2312" w:cs="Times New Roman"/>
          <w:color w:val="000000"/>
          <w:kern w:val="0"/>
          <w:sz w:val="31"/>
          <w:szCs w:val="31"/>
          <w:lang w:val="en-US" w:eastAsia="zh-CN"/>
        </w:rPr>
        <w:t>家，辐射带动能力不强</w:t>
      </w:r>
      <w:r>
        <w:rPr>
          <w:rFonts w:hint="eastAsia" w:ascii="Times New Roman" w:hAnsi="Times New Roman" w:eastAsia="仿宋_GB2312" w:cs="Times New Roman"/>
          <w:color w:val="000000"/>
          <w:kern w:val="0"/>
          <w:sz w:val="31"/>
          <w:szCs w:val="31"/>
          <w:lang w:val="en-US" w:eastAsia="zh-CN"/>
        </w:rPr>
        <w:t>，</w:t>
      </w:r>
      <w:r>
        <w:rPr>
          <w:rFonts w:hint="default" w:ascii="Times New Roman" w:hAnsi="Times New Roman" w:eastAsia="仿宋_GB2312" w:cs="Times New Roman"/>
          <w:color w:val="auto"/>
          <w:sz w:val="32"/>
          <w:szCs w:val="32"/>
          <w:highlight w:val="none"/>
          <w:lang w:val="en-US" w:eastAsia="zh-CN"/>
        </w:rPr>
        <w:t>企业创新意识不强，产业发展后劲不足。如木材加工产业，多为传统资源型企业，新产品、新技术研发能力弱，多为初加工产品，附加值不高；</w:t>
      </w:r>
      <w:r>
        <w:rPr>
          <w:rFonts w:hint="default" w:ascii="Times New Roman" w:hAnsi="Times New Roman" w:eastAsia="仿宋_GB2312" w:cs="Times New Roman"/>
          <w:b/>
          <w:bCs/>
          <w:color w:val="000000"/>
          <w:sz w:val="32"/>
          <w:szCs w:val="32"/>
          <w:lang w:val="en-US" w:eastAsia="zh-CN"/>
        </w:rPr>
        <w:t>二是</w:t>
      </w:r>
      <w:r>
        <w:rPr>
          <w:rFonts w:hint="default" w:ascii="Times New Roman" w:hAnsi="Times New Roman" w:eastAsia="仿宋_GB2312" w:cs="Times New Roman"/>
          <w:b w:val="0"/>
          <w:bCs w:val="0"/>
          <w:color w:val="000000"/>
          <w:sz w:val="32"/>
          <w:szCs w:val="32"/>
          <w:lang w:eastAsia="zh-CN"/>
        </w:rPr>
        <w:t>园区工业经济总量较小、龙头企业少、结构不优、产业链条短，产品层次比较低，企业实力和竞争力不强，抗风险能力较弱。</w:t>
      </w:r>
    </w:p>
    <w:p>
      <w:pPr>
        <w:pStyle w:val="2"/>
        <w:keepNext w:val="0"/>
        <w:keepLines w:val="0"/>
        <w:pageBreakBefore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color w:val="auto"/>
          <w:kern w:val="2"/>
          <w:sz w:val="32"/>
          <w:szCs w:val="32"/>
          <w:highlight w:val="none"/>
          <w:lang w:val="en-US" w:eastAsia="zh-CN" w:bidi="ar-SA"/>
        </w:rPr>
        <w:t>2.园区企业物流成本高。园</w:t>
      </w:r>
      <w:r>
        <w:rPr>
          <w:rFonts w:hint="eastAsia" w:ascii="仿宋_GB2312" w:hAnsi="仿宋_GB2312" w:eastAsia="仿宋_GB2312" w:cs="仿宋_GB2312"/>
          <w:b w:val="0"/>
          <w:bCs w:val="0"/>
          <w:sz w:val="32"/>
          <w:szCs w:val="32"/>
          <w:lang w:eastAsia="zh-CN"/>
        </w:rPr>
        <w:t>区内没有现代物流公司，流通渠道不畅，物流成本高等</w:t>
      </w:r>
      <w:r>
        <w:rPr>
          <w:rFonts w:hint="eastAsia" w:ascii="仿宋_GB2312" w:hAnsi="仿宋_GB2312" w:eastAsia="仿宋_GB2312" w:cs="仿宋_GB2312"/>
          <w:sz w:val="32"/>
          <w:szCs w:val="32"/>
          <w:lang w:eastAsia="zh-CN"/>
        </w:rPr>
        <w:t>问题已</w:t>
      </w:r>
      <w:r>
        <w:rPr>
          <w:rFonts w:hint="eastAsia" w:ascii="仿宋_GB2312" w:hAnsi="仿宋_GB2312" w:eastAsia="仿宋_GB2312" w:cs="仿宋_GB2312"/>
          <w:sz w:val="32"/>
          <w:szCs w:val="32"/>
        </w:rPr>
        <w:t>成为园区企业发展的瓶颈，尤其是原材料和产品销售两头在外的企业，物流成本过高，制约其发展壮大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招引优强企业入园难。省州将榕江工业园区定位为百亿级木材加工全产业链园区，目前的企业大部分是板材加工，很难引进符合主导产业发展方向的家具制造、五金配件等配套产业优强企业入园，产业链不健全，产品附加值不高，制约工业经济高质量发展。</w:t>
      </w:r>
    </w:p>
    <w:p>
      <w:pPr>
        <w:pStyle w:val="2"/>
        <w:rPr>
          <w:rFonts w:hint="default"/>
          <w:lang w:val="en-US" w:eastAsia="zh-CN"/>
        </w:rPr>
      </w:pPr>
      <w:r>
        <w:rPr>
          <w:rFonts w:hint="eastAsia" w:ascii="仿宋_GB2312" w:hAnsi="仿宋_GB2312" w:eastAsia="仿宋_GB2312" w:cs="仿宋_GB2312"/>
          <w:sz w:val="32"/>
          <w:szCs w:val="32"/>
          <w:lang w:val="en-US" w:eastAsia="zh-CN"/>
        </w:rPr>
        <w:t>4.单位领导对绩效评价工作重视程度提高空间很大。从项目谋划编制入库，到项目实施，到项目验收投入使用，到资金使用效益等环节自评工作，往往变成一个工作员的事。评价指标的设置、分值设置、打分等自评业务成了王婆卖瓜自卖自夸的独角戏。</w:t>
      </w:r>
    </w:p>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rPr>
      </w:pPr>
      <w:r>
        <w:rPr>
          <w:rFonts w:hint="eastAsia" w:ascii="仿宋" w:hAnsi="仿宋" w:eastAsia="仿宋" w:cs="仿宋"/>
          <w:kern w:val="0"/>
          <w:sz w:val="32"/>
          <w:szCs w:val="32"/>
          <w:lang w:val="en-US" w:eastAsia="zh-CN"/>
        </w:rPr>
        <w:t>5</w:t>
      </w:r>
      <w:r>
        <w:rPr>
          <w:rFonts w:hint="eastAsia" w:ascii="仿宋_GB2312" w:hAnsi="Times New Roman" w:eastAsia="仿宋_GB2312" w:cs="Times New Roman"/>
          <w:sz w:val="32"/>
          <w:szCs w:val="32"/>
        </w:rPr>
        <w:t>.年初绩效指标设定变化大，具体工作任务变化大，难以细化性、可操作性不够。原因是服务对象满意度指标细化性不够，个人感受差异大，主观性变化大，操作性不强。</w:t>
      </w:r>
    </w:p>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部门预算编制与执行有待提高。原因是有的预算支出具有预测性和不确定性，造成实际支出与预算编制不符，或预算执行力不高，支付不及时，导致需要对预算进行调整或预算完成率不高，造成年末结转数额过大。</w:t>
      </w:r>
    </w:p>
    <w:p>
      <w:pPr>
        <w:widowControl/>
        <w:shd w:val="clear" w:color="auto" w:fill="FFFFFF"/>
        <w:snapToGrid w:val="0"/>
        <w:spacing w:line="540" w:lineRule="exact"/>
        <w:ind w:firstLine="640" w:firstLineChars="200"/>
        <w:contextualSpacing/>
        <w:rPr>
          <w:rFonts w:ascii="Times New Roman" w:hAnsi="Times New Roman" w:eastAsia="楷体_GB2312" w:cs="Times New Roman"/>
          <w:bCs/>
          <w:kern w:val="0"/>
          <w:sz w:val="32"/>
          <w:szCs w:val="32"/>
        </w:rPr>
      </w:pPr>
      <w:r>
        <w:rPr>
          <w:rFonts w:hint="eastAsia" w:ascii="Times New Roman" w:hAnsi="Times New Roman" w:eastAsia="楷体_GB2312" w:cs="Times New Roman"/>
          <w:bCs/>
          <w:kern w:val="0"/>
          <w:sz w:val="32"/>
          <w:szCs w:val="32"/>
        </w:rPr>
        <w:t>（三）整改方向和具体措施</w:t>
      </w:r>
    </w:p>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以本次绩效自评结果，对存在的问题及时提出整改方向和具体措施，促进提高工作效益与工作质量和提高评价工作能力等。</w:t>
      </w:r>
    </w:p>
    <w:p>
      <w:pPr>
        <w:widowControl/>
        <w:shd w:val="clear" w:color="auto" w:fill="FFFFFF"/>
        <w:snapToGrid w:val="0"/>
        <w:spacing w:line="540" w:lineRule="exact"/>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　　1.强化绩效目标科学设置。加快强化对三级绩效目标的科学设置，促进评价工作的操作性与可比性。</w:t>
      </w:r>
    </w:p>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2.严格执行预算管理。加强预算细化编制工作，加快资金拨付进度，特别是专项资金的申请与拨付工作，除政策原因需结转结余外，尽量减少结转结余，进一步提高预算资金执行率与使用效益。</w:t>
      </w:r>
    </w:p>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3.强化制度管理和提高服务工作。建立健全管理机制，强化常态化服务意识，积极争取资金解决工程欠款欠薪问题，有效解决企业招工用工、企业服务和营商环境的协调工作能力，提高社会综合服务与管理水平。</w:t>
      </w:r>
    </w:p>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4.以今年“开展202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年财政绩效评价和202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年全程绩效管理指导工作”为契机，加强绩效管理，强化单位内部控制，完善绩效考核自评制度，提高资金使用效益。</w:t>
      </w:r>
    </w:p>
    <w:p>
      <w:pPr>
        <w:widowControl/>
        <w:shd w:val="clear" w:color="auto" w:fill="FFFFFF"/>
        <w:snapToGrid w:val="0"/>
        <w:spacing w:line="540" w:lineRule="exact"/>
        <w:ind w:firstLine="640" w:firstLineChars="200"/>
        <w:contextualSpacing/>
        <w:rPr>
          <w:rFonts w:ascii="黑体" w:hAnsi="黑体" w:eastAsia="黑体" w:cs="Times New Roman"/>
          <w:bCs/>
          <w:kern w:val="0"/>
          <w:sz w:val="32"/>
          <w:szCs w:val="32"/>
        </w:rPr>
      </w:pPr>
      <w:r>
        <w:rPr>
          <w:rFonts w:hint="eastAsia" w:ascii="黑体" w:hAnsi="黑体" w:eastAsia="黑体" w:cs="Times New Roman"/>
          <w:bCs/>
          <w:kern w:val="0"/>
          <w:sz w:val="32"/>
          <w:szCs w:val="32"/>
        </w:rPr>
        <w:t>六、建议</w:t>
      </w:r>
    </w:p>
    <w:p>
      <w:pPr>
        <w:widowControl/>
        <w:shd w:val="clear" w:color="auto" w:fill="FFFFFF"/>
        <w:snapToGrid w:val="0"/>
        <w:spacing w:line="540" w:lineRule="exact"/>
        <w:ind w:firstLine="640" w:firstLineChars="200"/>
        <w:contextualSpacing/>
        <w:rPr>
          <w:rFonts w:ascii="仿宋" w:hAnsi="仿宋" w:eastAsia="仿宋" w:cs="宋体"/>
          <w:kern w:val="0"/>
          <w:sz w:val="32"/>
          <w:szCs w:val="32"/>
        </w:rPr>
      </w:pPr>
      <w:r>
        <w:rPr>
          <w:rFonts w:hint="eastAsia" w:ascii="仿宋_GB2312" w:hAnsi="Times New Roman" w:eastAsia="仿宋_GB2312" w:cs="Times New Roman"/>
          <w:sz w:val="32"/>
          <w:szCs w:val="32"/>
        </w:rPr>
        <w:t>建议县</w:t>
      </w:r>
      <w:r>
        <w:rPr>
          <w:rFonts w:hint="eastAsia" w:ascii="仿宋_GB2312" w:hAnsi="Times New Roman" w:eastAsia="仿宋_GB2312" w:cs="Times New Roman"/>
          <w:sz w:val="32"/>
          <w:szCs w:val="32"/>
          <w:lang w:val="en-US" w:eastAsia="zh-CN"/>
        </w:rPr>
        <w:t>级</w:t>
      </w:r>
      <w:r>
        <w:rPr>
          <w:rFonts w:hint="eastAsia" w:ascii="仿宋_GB2312" w:hAnsi="Times New Roman" w:eastAsia="仿宋_GB2312" w:cs="Times New Roman"/>
          <w:sz w:val="32"/>
          <w:szCs w:val="32"/>
        </w:rPr>
        <w:t>加</w:t>
      </w:r>
      <w:r>
        <w:rPr>
          <w:rFonts w:hint="eastAsia" w:ascii="仿宋_GB2312" w:hAnsi="Times New Roman" w:eastAsia="仿宋_GB2312" w:cs="Times New Roman"/>
          <w:sz w:val="32"/>
          <w:szCs w:val="32"/>
          <w:lang w:val="en-US" w:eastAsia="zh-CN"/>
        </w:rPr>
        <w:t>大队工业经济建设投入力度，</w:t>
      </w:r>
      <w:r>
        <w:rPr>
          <w:rFonts w:hint="eastAsia" w:ascii="仿宋_GB2312" w:hAnsi="Times New Roman" w:eastAsia="仿宋_GB2312" w:cs="Times New Roman"/>
          <w:sz w:val="32"/>
          <w:szCs w:val="32"/>
        </w:rPr>
        <w:t>提高预算</w:t>
      </w:r>
      <w:r>
        <w:rPr>
          <w:rFonts w:hint="eastAsia" w:ascii="仿宋_GB2312" w:hAnsi="Times New Roman" w:eastAsia="仿宋_GB2312" w:cs="Times New Roman"/>
          <w:sz w:val="32"/>
          <w:szCs w:val="32"/>
          <w:lang w:val="en-US" w:eastAsia="zh-CN"/>
        </w:rPr>
        <w:t>资金到位</w:t>
      </w:r>
      <w:r>
        <w:rPr>
          <w:rFonts w:hint="eastAsia" w:ascii="仿宋_GB2312" w:hAnsi="Times New Roman" w:eastAsia="仿宋_GB2312" w:cs="Times New Roman"/>
          <w:sz w:val="32"/>
          <w:szCs w:val="32"/>
        </w:rPr>
        <w:t>执行</w:t>
      </w:r>
      <w:r>
        <w:rPr>
          <w:rFonts w:hint="eastAsia" w:ascii="仿宋_GB2312" w:hAnsi="Times New Roman" w:eastAsia="仿宋_GB2312" w:cs="Times New Roman"/>
          <w:sz w:val="32"/>
          <w:szCs w:val="32"/>
          <w:lang w:val="en-US" w:eastAsia="zh-CN"/>
        </w:rPr>
        <w:t>率</w:t>
      </w:r>
      <w:r>
        <w:rPr>
          <w:rFonts w:hint="eastAsia" w:ascii="仿宋_GB2312" w:hAnsi="Times New Roman" w:eastAsia="仿宋_GB2312" w:cs="Times New Roman"/>
          <w:sz w:val="32"/>
          <w:szCs w:val="32"/>
        </w:rPr>
        <w:t>。</w:t>
      </w:r>
      <w:r>
        <w:rPr>
          <w:rFonts w:hint="eastAsia" w:ascii="仿宋" w:hAnsi="仿宋" w:eastAsia="仿宋" w:cs="宋体"/>
          <w:kern w:val="0"/>
          <w:sz w:val="32"/>
          <w:szCs w:val="32"/>
        </w:rPr>
        <w:t xml:space="preserve">                                                </w:t>
      </w:r>
    </w:p>
    <w:p>
      <w:pPr>
        <w:widowControl/>
        <w:shd w:val="clear" w:color="auto" w:fill="FFFFFF"/>
        <w:snapToGrid w:val="0"/>
        <w:spacing w:line="540" w:lineRule="exact"/>
        <w:ind w:firstLine="640" w:firstLineChars="200"/>
        <w:contextualSpacing/>
        <w:rPr>
          <w:rFonts w:ascii="黑体" w:hAnsi="黑体" w:eastAsia="黑体" w:cs="Times New Roman"/>
          <w:bCs/>
          <w:kern w:val="0"/>
          <w:sz w:val="32"/>
          <w:szCs w:val="32"/>
        </w:rPr>
      </w:pPr>
      <w:r>
        <w:rPr>
          <w:rFonts w:hint="eastAsia" w:ascii="黑体" w:hAnsi="黑体" w:eastAsia="黑体" w:cs="Times New Roman"/>
          <w:bCs/>
          <w:kern w:val="0"/>
          <w:sz w:val="32"/>
          <w:szCs w:val="32"/>
        </w:rPr>
        <w:t>七、效自评结果应用建议</w:t>
      </w:r>
    </w:p>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rPr>
      </w:pPr>
      <w:r>
        <w:rPr>
          <w:rFonts w:hint="eastAsia" w:ascii="仿宋" w:hAnsi="仿宋" w:eastAsia="仿宋" w:cs="宋体"/>
          <w:kern w:val="0"/>
          <w:sz w:val="32"/>
          <w:szCs w:val="32"/>
        </w:rPr>
        <w:t>1</w:t>
      </w:r>
      <w:r>
        <w:rPr>
          <w:rFonts w:hint="eastAsia" w:ascii="仿宋_GB2312" w:hAnsi="Times New Roman" w:eastAsia="仿宋_GB2312" w:cs="Times New Roman"/>
          <w:sz w:val="32"/>
          <w:szCs w:val="32"/>
        </w:rPr>
        <w:t>.预算编制方面。建议县财政深化预算编制管理，严格按照预算年度工作需要，对经费款项类进行三级精细化预算编制与管理，提高年度预算控制和执行依据。</w:t>
      </w:r>
    </w:p>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2.财务指导与预算执行方面。建议县财政加强对部门财务指导与分析，通过全面、系统地深入分析，及时掌握财务处理和预算执行情况以及历史相关核算遗留问题，及时发现并及时采取预警、调整、纠偏方式进行整改完善，确保账务处理规范，帐实相符。</w:t>
      </w:r>
    </w:p>
    <w:p>
      <w:pPr>
        <w:widowControl/>
        <w:shd w:val="clear" w:color="auto" w:fill="FFFFFF"/>
        <w:snapToGrid w:val="0"/>
        <w:spacing w:line="540" w:lineRule="exact"/>
        <w:ind w:firstLine="640" w:firstLineChars="200"/>
        <w:contextualSpacing/>
        <w:rPr>
          <w:rFonts w:ascii="黑体" w:hAnsi="黑体" w:eastAsia="黑体" w:cs="Times New Roman"/>
          <w:bCs/>
          <w:kern w:val="0"/>
          <w:sz w:val="32"/>
          <w:szCs w:val="32"/>
        </w:rPr>
      </w:pPr>
      <w:r>
        <w:rPr>
          <w:rFonts w:hint="eastAsia" w:ascii="黑体" w:hAnsi="黑体" w:eastAsia="黑体" w:cs="Times New Roman"/>
          <w:bCs/>
          <w:kern w:val="0"/>
          <w:sz w:val="32"/>
          <w:szCs w:val="32"/>
        </w:rPr>
        <w:t>八、其他需要说明的问题</w:t>
      </w:r>
    </w:p>
    <w:p>
      <w:pPr>
        <w:widowControl/>
        <w:shd w:val="clear" w:color="auto" w:fill="FFFFFF"/>
        <w:snapToGrid w:val="0"/>
        <w:spacing w:line="540" w:lineRule="exact"/>
        <w:ind w:firstLine="640" w:firstLineChars="200"/>
        <w:contextualSpacing/>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由于2022年预算专项资金只付车江坝区指挥部日常运转工作专项业务费32万元、园区平台公司榕江县金宇投资开发有限公司财务年度审计费3万元、园区2022年清理低效僵尸企业事务诉讼费执行费2万元。这些专项业务工作情况数据在各项目绩效表已中能全面反映，情况简单，它们存在主要问题共性是预算资金到位率低，执行率低，故不再单独对项目绩效进行赘述报告。</w:t>
      </w:r>
    </w:p>
    <w:p>
      <w:pPr>
        <w:widowControl/>
        <w:shd w:val="clear" w:color="auto" w:fill="FFFFFF"/>
        <w:snapToGrid w:val="0"/>
        <w:spacing w:line="540" w:lineRule="exact"/>
        <w:ind w:firstLine="640" w:firstLineChars="200"/>
        <w:contextualSpacing/>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特此报告</w:t>
      </w:r>
    </w:p>
    <w:p>
      <w:pPr>
        <w:widowControl/>
        <w:shd w:val="clear" w:color="auto" w:fill="FFFFFF"/>
        <w:snapToGrid w:val="0"/>
        <w:spacing w:line="540" w:lineRule="exact"/>
        <w:contextualSpacing/>
        <w:rPr>
          <w:rFonts w:hint="eastAsia" w:ascii="仿宋_GB2312" w:hAnsi="Times New Roman" w:eastAsia="仿宋_GB2312" w:cs="Times New Roman"/>
          <w:sz w:val="32"/>
          <w:szCs w:val="32"/>
        </w:rPr>
      </w:pPr>
    </w:p>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年度部门整体支出绩效自评表　</w:t>
      </w:r>
    </w:p>
    <w:p>
      <w:pPr>
        <w:widowControl/>
        <w:shd w:val="clear" w:color="auto" w:fill="FFFFFF"/>
        <w:snapToGrid w:val="0"/>
        <w:spacing w:line="540" w:lineRule="exact"/>
        <w:contextualSpacing/>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2022年金宇公司财务审计费绩效自评表</w:t>
      </w:r>
    </w:p>
    <w:p>
      <w:pPr>
        <w:widowControl/>
        <w:shd w:val="clear" w:color="auto" w:fill="FFFFFF"/>
        <w:snapToGrid w:val="0"/>
        <w:spacing w:line="540" w:lineRule="exact"/>
        <w:ind w:firstLine="640" w:firstLineChars="200"/>
        <w:contextualSpacing/>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2022年法律服务费绩效自评表</w:t>
      </w:r>
    </w:p>
    <w:p>
      <w:pPr>
        <w:widowControl/>
        <w:shd w:val="clear" w:color="auto" w:fill="FFFFFF"/>
        <w:snapToGrid w:val="0"/>
        <w:spacing w:line="540" w:lineRule="exact"/>
        <w:ind w:left="1598" w:leftChars="456" w:hanging="640" w:hangingChars="200"/>
        <w:contextualSpacing/>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2022年车江坝区产业发展领导工作小组工作专项整治专项业务工作绩效自评表</w:t>
      </w:r>
    </w:p>
    <w:p>
      <w:pPr>
        <w:widowControl/>
        <w:shd w:val="clear" w:color="auto" w:fill="FFFFFF"/>
        <w:snapToGrid w:val="0"/>
        <w:spacing w:line="540" w:lineRule="exact"/>
        <w:ind w:firstLine="640" w:firstLineChars="200"/>
        <w:contextualSpacing/>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widowControl/>
        <w:shd w:val="clear" w:color="auto" w:fill="FFFFFF"/>
        <w:snapToGrid w:val="0"/>
        <w:spacing w:line="540" w:lineRule="exact"/>
        <w:ind w:firstLine="4160" w:firstLineChars="13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榕江工业园区管理委员会                     </w:t>
      </w:r>
    </w:p>
    <w:p>
      <w:pPr>
        <w:widowControl/>
        <w:shd w:val="clear" w:color="auto" w:fill="FFFFFF"/>
        <w:snapToGrid w:val="0"/>
        <w:spacing w:line="54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26</w:t>
      </w:r>
      <w:r>
        <w:rPr>
          <w:rFonts w:hint="eastAsia" w:ascii="仿宋_GB2312" w:hAnsi="Times New Roman" w:eastAsia="仿宋_GB2312" w:cs="Times New Roman"/>
          <w:sz w:val="32"/>
          <w:szCs w:val="32"/>
        </w:rPr>
        <w:t>日</w:t>
      </w:r>
    </w:p>
    <w:sectPr>
      <w:footerReference r:id="rId3" w:type="default"/>
      <w:pgSz w:w="11906" w:h="16838"/>
      <w:pgMar w:top="2098" w:right="1588" w:bottom="1871" w:left="1474" w:header="794"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8B03C8-77E6-4CC5-8E62-0B77EB8D0B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C3712C7A-0CBD-499F-B694-4B3F93B0DA9E}"/>
  </w:font>
  <w:font w:name="仿宋_GB2312">
    <w:altName w:val="仿宋"/>
    <w:panose1 w:val="00000000000000000000"/>
    <w:charset w:val="86"/>
    <w:family w:val="modern"/>
    <w:pitch w:val="default"/>
    <w:sig w:usb0="00000000" w:usb1="00000000" w:usb2="00000000" w:usb3="00000000" w:csb0="00040000" w:csb1="00000000"/>
    <w:embedRegular r:id="rId3" w:fontKey="{BEFF55D4-84F0-4EBE-A91C-1A1B74916EA2}"/>
  </w:font>
  <w:font w:name="楷体_GB2312">
    <w:altName w:val="楷体"/>
    <w:panose1 w:val="00000000000000000000"/>
    <w:charset w:val="86"/>
    <w:family w:val="modern"/>
    <w:pitch w:val="default"/>
    <w:sig w:usb0="00000000" w:usb1="00000000" w:usb2="00000000" w:usb3="00000000" w:csb0="00040000" w:csb1="00000000"/>
    <w:embedRegular r:id="rId4" w:fontKey="{BCA8CA6D-E428-405F-8DDB-80C47B74A70C}"/>
  </w:font>
  <w:font w:name="仿宋">
    <w:panose1 w:val="02010609060101010101"/>
    <w:charset w:val="86"/>
    <w:family w:val="modern"/>
    <w:pitch w:val="default"/>
    <w:sig w:usb0="800002BF" w:usb1="38CF7CFA" w:usb2="00000016" w:usb3="00000000" w:csb0="00040001" w:csb1="00000000"/>
    <w:embedRegular r:id="rId5" w:fontKey="{FB3C3C67-0B94-413B-95E5-2CA0329A0EFC}"/>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SIAc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lrUrdMdweI42UJ00dRlhimBx6wsx1Wre0I3/6uerx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dIgBzwEAAKoDAAAOAAAAAAAAAAEAIAAAAB4BAABkcnMv&#10;ZTJvRG9jLnhtbFBLBQYAAAAABgAGAFkBAABf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OGY2NThmYzQ4ZmM0ZjdhYWNjNjIxOWE4NDgxMTAifQ=="/>
  </w:docVars>
  <w:rsids>
    <w:rsidRoot w:val="0022222C"/>
    <w:rsid w:val="00006CCB"/>
    <w:rsid w:val="000519C4"/>
    <w:rsid w:val="000E0578"/>
    <w:rsid w:val="000F5C94"/>
    <w:rsid w:val="0022222C"/>
    <w:rsid w:val="00254AD5"/>
    <w:rsid w:val="00255613"/>
    <w:rsid w:val="00357294"/>
    <w:rsid w:val="003D7946"/>
    <w:rsid w:val="004365D8"/>
    <w:rsid w:val="005379D9"/>
    <w:rsid w:val="00656823"/>
    <w:rsid w:val="00685D04"/>
    <w:rsid w:val="007253D8"/>
    <w:rsid w:val="00743266"/>
    <w:rsid w:val="00767561"/>
    <w:rsid w:val="007B2124"/>
    <w:rsid w:val="007B7B58"/>
    <w:rsid w:val="00924662"/>
    <w:rsid w:val="0093006D"/>
    <w:rsid w:val="00953794"/>
    <w:rsid w:val="00965BCE"/>
    <w:rsid w:val="009B4740"/>
    <w:rsid w:val="00A25C1C"/>
    <w:rsid w:val="00A45237"/>
    <w:rsid w:val="00AF6AEA"/>
    <w:rsid w:val="00B6148B"/>
    <w:rsid w:val="00C2744D"/>
    <w:rsid w:val="00C53EB5"/>
    <w:rsid w:val="00CC7B4F"/>
    <w:rsid w:val="00D7037F"/>
    <w:rsid w:val="00E25322"/>
    <w:rsid w:val="00FA4A3E"/>
    <w:rsid w:val="00FC1E10"/>
    <w:rsid w:val="00FE5EEF"/>
    <w:rsid w:val="013A5933"/>
    <w:rsid w:val="017A5B19"/>
    <w:rsid w:val="01963B76"/>
    <w:rsid w:val="019F4A28"/>
    <w:rsid w:val="031478AE"/>
    <w:rsid w:val="033F6241"/>
    <w:rsid w:val="0374381B"/>
    <w:rsid w:val="03AF28D4"/>
    <w:rsid w:val="04047B5B"/>
    <w:rsid w:val="04351B1E"/>
    <w:rsid w:val="04A27956"/>
    <w:rsid w:val="05270006"/>
    <w:rsid w:val="06717EB2"/>
    <w:rsid w:val="076E7C2A"/>
    <w:rsid w:val="07AD1C22"/>
    <w:rsid w:val="07F4584C"/>
    <w:rsid w:val="084762C4"/>
    <w:rsid w:val="085F2BA4"/>
    <w:rsid w:val="09953478"/>
    <w:rsid w:val="09DF39DB"/>
    <w:rsid w:val="09F61D50"/>
    <w:rsid w:val="09F7504B"/>
    <w:rsid w:val="0A483362"/>
    <w:rsid w:val="0AC35152"/>
    <w:rsid w:val="0B1C1487"/>
    <w:rsid w:val="0B1E400B"/>
    <w:rsid w:val="0BAD7531"/>
    <w:rsid w:val="0D521190"/>
    <w:rsid w:val="0D5E507C"/>
    <w:rsid w:val="0D7679A8"/>
    <w:rsid w:val="0DDB592A"/>
    <w:rsid w:val="0E0A6DD3"/>
    <w:rsid w:val="0E854590"/>
    <w:rsid w:val="0E886989"/>
    <w:rsid w:val="0EE83D6C"/>
    <w:rsid w:val="0EFB5712"/>
    <w:rsid w:val="10196A4D"/>
    <w:rsid w:val="104A0D95"/>
    <w:rsid w:val="10E20B17"/>
    <w:rsid w:val="12412FC1"/>
    <w:rsid w:val="12846CDD"/>
    <w:rsid w:val="13AF05A2"/>
    <w:rsid w:val="14FC2FB3"/>
    <w:rsid w:val="152D3AEB"/>
    <w:rsid w:val="156F6E5A"/>
    <w:rsid w:val="16115061"/>
    <w:rsid w:val="1622121A"/>
    <w:rsid w:val="1654798F"/>
    <w:rsid w:val="16FE1A64"/>
    <w:rsid w:val="17121FA0"/>
    <w:rsid w:val="175956CC"/>
    <w:rsid w:val="17AB64D1"/>
    <w:rsid w:val="180661F5"/>
    <w:rsid w:val="1890162D"/>
    <w:rsid w:val="18AC5CCE"/>
    <w:rsid w:val="19396D3E"/>
    <w:rsid w:val="196D545F"/>
    <w:rsid w:val="197A5C34"/>
    <w:rsid w:val="1A5011F1"/>
    <w:rsid w:val="1AD37624"/>
    <w:rsid w:val="1AFF7C27"/>
    <w:rsid w:val="1BA33CAF"/>
    <w:rsid w:val="1C09580B"/>
    <w:rsid w:val="1C3C7F5A"/>
    <w:rsid w:val="1C8B1654"/>
    <w:rsid w:val="1CC655B2"/>
    <w:rsid w:val="1E3D063B"/>
    <w:rsid w:val="1EAF6CED"/>
    <w:rsid w:val="1F1B5AFC"/>
    <w:rsid w:val="1F3A79D5"/>
    <w:rsid w:val="1FC62BD0"/>
    <w:rsid w:val="1FD86CBE"/>
    <w:rsid w:val="20C847B5"/>
    <w:rsid w:val="213A1E49"/>
    <w:rsid w:val="21DD3360"/>
    <w:rsid w:val="221A3B94"/>
    <w:rsid w:val="223C5FD8"/>
    <w:rsid w:val="229F4A73"/>
    <w:rsid w:val="2306731D"/>
    <w:rsid w:val="23CF6A2B"/>
    <w:rsid w:val="26272654"/>
    <w:rsid w:val="269C5E89"/>
    <w:rsid w:val="27045DA2"/>
    <w:rsid w:val="27172462"/>
    <w:rsid w:val="272A2FE6"/>
    <w:rsid w:val="27504BB2"/>
    <w:rsid w:val="27F626E0"/>
    <w:rsid w:val="28444716"/>
    <w:rsid w:val="287D23B7"/>
    <w:rsid w:val="28ED346C"/>
    <w:rsid w:val="29414C9C"/>
    <w:rsid w:val="299D779B"/>
    <w:rsid w:val="29C919A4"/>
    <w:rsid w:val="2B5C7135"/>
    <w:rsid w:val="2B6667C9"/>
    <w:rsid w:val="2C387CBB"/>
    <w:rsid w:val="2C934AA1"/>
    <w:rsid w:val="2D626371"/>
    <w:rsid w:val="2DB741D8"/>
    <w:rsid w:val="2DC418DD"/>
    <w:rsid w:val="2F1E423D"/>
    <w:rsid w:val="2FF324AF"/>
    <w:rsid w:val="303F5BFE"/>
    <w:rsid w:val="3043457C"/>
    <w:rsid w:val="30803872"/>
    <w:rsid w:val="30A36C1F"/>
    <w:rsid w:val="315A3206"/>
    <w:rsid w:val="31FA215C"/>
    <w:rsid w:val="323E39E4"/>
    <w:rsid w:val="32606AAE"/>
    <w:rsid w:val="326A6587"/>
    <w:rsid w:val="327E33AB"/>
    <w:rsid w:val="32E225C2"/>
    <w:rsid w:val="34A7044D"/>
    <w:rsid w:val="35392FAE"/>
    <w:rsid w:val="35AF70D3"/>
    <w:rsid w:val="35F9034E"/>
    <w:rsid w:val="365D02EF"/>
    <w:rsid w:val="368C3EF2"/>
    <w:rsid w:val="3690414E"/>
    <w:rsid w:val="36A43647"/>
    <w:rsid w:val="37436627"/>
    <w:rsid w:val="380366BA"/>
    <w:rsid w:val="38B70670"/>
    <w:rsid w:val="38D56105"/>
    <w:rsid w:val="38D63FB9"/>
    <w:rsid w:val="38FD7147"/>
    <w:rsid w:val="393629C0"/>
    <w:rsid w:val="3A885D72"/>
    <w:rsid w:val="3B6756EF"/>
    <w:rsid w:val="3B95411E"/>
    <w:rsid w:val="3BCF662E"/>
    <w:rsid w:val="3C4B11D8"/>
    <w:rsid w:val="3C78504B"/>
    <w:rsid w:val="3D344362"/>
    <w:rsid w:val="3D58666B"/>
    <w:rsid w:val="3D7B0308"/>
    <w:rsid w:val="3D83547B"/>
    <w:rsid w:val="3F2E3DA2"/>
    <w:rsid w:val="40EE2E86"/>
    <w:rsid w:val="413F3A8D"/>
    <w:rsid w:val="41415E9E"/>
    <w:rsid w:val="418D05D5"/>
    <w:rsid w:val="41AE2688"/>
    <w:rsid w:val="41D81760"/>
    <w:rsid w:val="420A5691"/>
    <w:rsid w:val="42E12ED8"/>
    <w:rsid w:val="43160675"/>
    <w:rsid w:val="432455F3"/>
    <w:rsid w:val="44213356"/>
    <w:rsid w:val="44643D62"/>
    <w:rsid w:val="45FC3671"/>
    <w:rsid w:val="47772353"/>
    <w:rsid w:val="47CA5BCA"/>
    <w:rsid w:val="481653EE"/>
    <w:rsid w:val="48481C7E"/>
    <w:rsid w:val="4AAA2FAB"/>
    <w:rsid w:val="4AB13792"/>
    <w:rsid w:val="4B0E7FA0"/>
    <w:rsid w:val="4B2F0EBC"/>
    <w:rsid w:val="4BA51FE2"/>
    <w:rsid w:val="4BA66756"/>
    <w:rsid w:val="4C3A5EAE"/>
    <w:rsid w:val="4CA04AB9"/>
    <w:rsid w:val="4D295F5B"/>
    <w:rsid w:val="4D5F22FE"/>
    <w:rsid w:val="4E6E706C"/>
    <w:rsid w:val="4EE14467"/>
    <w:rsid w:val="4F2D4F3F"/>
    <w:rsid w:val="4F35015F"/>
    <w:rsid w:val="4F35356D"/>
    <w:rsid w:val="4FB22710"/>
    <w:rsid w:val="4FCB2D35"/>
    <w:rsid w:val="50650BFD"/>
    <w:rsid w:val="50AA42C7"/>
    <w:rsid w:val="510D2AA8"/>
    <w:rsid w:val="51D1238C"/>
    <w:rsid w:val="52C111FA"/>
    <w:rsid w:val="530A53FB"/>
    <w:rsid w:val="544A2804"/>
    <w:rsid w:val="544F7249"/>
    <w:rsid w:val="54F346FE"/>
    <w:rsid w:val="559E4D72"/>
    <w:rsid w:val="56024BA5"/>
    <w:rsid w:val="56372AA1"/>
    <w:rsid w:val="56AB1180"/>
    <w:rsid w:val="56E25C8A"/>
    <w:rsid w:val="57504A75"/>
    <w:rsid w:val="57E413DA"/>
    <w:rsid w:val="58256268"/>
    <w:rsid w:val="58E54544"/>
    <w:rsid w:val="591658F9"/>
    <w:rsid w:val="5A9D30EE"/>
    <w:rsid w:val="5BB4164A"/>
    <w:rsid w:val="5C1D2AA5"/>
    <w:rsid w:val="5CCC359B"/>
    <w:rsid w:val="5E9B618B"/>
    <w:rsid w:val="5FF278C9"/>
    <w:rsid w:val="60A86E61"/>
    <w:rsid w:val="60BD4E6A"/>
    <w:rsid w:val="60CC028A"/>
    <w:rsid w:val="60F433A5"/>
    <w:rsid w:val="611B4064"/>
    <w:rsid w:val="613F1207"/>
    <w:rsid w:val="61837885"/>
    <w:rsid w:val="61945045"/>
    <w:rsid w:val="62B704EA"/>
    <w:rsid w:val="62D3305B"/>
    <w:rsid w:val="62ED5D3D"/>
    <w:rsid w:val="63E97911"/>
    <w:rsid w:val="64103994"/>
    <w:rsid w:val="645F77A0"/>
    <w:rsid w:val="646A58B5"/>
    <w:rsid w:val="65124175"/>
    <w:rsid w:val="65BF0AAB"/>
    <w:rsid w:val="665E0D8E"/>
    <w:rsid w:val="670A7765"/>
    <w:rsid w:val="67D52E9E"/>
    <w:rsid w:val="682C2C30"/>
    <w:rsid w:val="6A497BD0"/>
    <w:rsid w:val="6A6D2897"/>
    <w:rsid w:val="6A9C6F1F"/>
    <w:rsid w:val="6B156859"/>
    <w:rsid w:val="6B4914BC"/>
    <w:rsid w:val="6BDA5C8F"/>
    <w:rsid w:val="6CBF5B1A"/>
    <w:rsid w:val="6D003DC8"/>
    <w:rsid w:val="6D5C587A"/>
    <w:rsid w:val="6DC05DF5"/>
    <w:rsid w:val="6ED15C56"/>
    <w:rsid w:val="6FD40DAB"/>
    <w:rsid w:val="723A406F"/>
    <w:rsid w:val="725620A9"/>
    <w:rsid w:val="72930C07"/>
    <w:rsid w:val="72B83105"/>
    <w:rsid w:val="72F61B41"/>
    <w:rsid w:val="731E6163"/>
    <w:rsid w:val="73EB5C1C"/>
    <w:rsid w:val="74D472B5"/>
    <w:rsid w:val="74D53C96"/>
    <w:rsid w:val="7545794C"/>
    <w:rsid w:val="754B59EB"/>
    <w:rsid w:val="75BC5718"/>
    <w:rsid w:val="760360A4"/>
    <w:rsid w:val="765B469A"/>
    <w:rsid w:val="767411E1"/>
    <w:rsid w:val="76CE3E32"/>
    <w:rsid w:val="76D02FFE"/>
    <w:rsid w:val="77443E50"/>
    <w:rsid w:val="775D40A0"/>
    <w:rsid w:val="77831066"/>
    <w:rsid w:val="77BB3103"/>
    <w:rsid w:val="78570B7C"/>
    <w:rsid w:val="786A240A"/>
    <w:rsid w:val="78D23423"/>
    <w:rsid w:val="78E86A61"/>
    <w:rsid w:val="79BD1C29"/>
    <w:rsid w:val="7A1C210E"/>
    <w:rsid w:val="7ACB6E8C"/>
    <w:rsid w:val="7AEC68C1"/>
    <w:rsid w:val="7AFE392B"/>
    <w:rsid w:val="7B035CD6"/>
    <w:rsid w:val="7B0748E5"/>
    <w:rsid w:val="7BCA1B9A"/>
    <w:rsid w:val="7CFB435D"/>
    <w:rsid w:val="7D38181B"/>
    <w:rsid w:val="7DB2513E"/>
    <w:rsid w:val="7F453289"/>
    <w:rsid w:val="7F514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4"/>
    </w:rPr>
  </w:style>
  <w:style w:type="paragraph" w:styleId="3">
    <w:name w:val="Body Text Indent"/>
    <w:basedOn w:val="1"/>
    <w:next w:val="1"/>
    <w:unhideWhenUsed/>
    <w:qFormat/>
    <w:uiPriority w:val="99"/>
    <w:pPr>
      <w:spacing w:after="120"/>
      <w:ind w:left="420" w:leftChars="200"/>
    </w:pPr>
  </w:style>
  <w:style w:type="paragraph" w:styleId="4">
    <w:name w:val="table of authorities"/>
    <w:basedOn w:val="1"/>
    <w:next w:val="1"/>
    <w:qFormat/>
    <w:uiPriority w:val="0"/>
    <w:pPr>
      <w:ind w:left="420" w:leftChars="200"/>
    </w:pPr>
    <w:rPr>
      <w:rFonts w:ascii="Times New Roman" w:hAnsi="Times New Roman" w:eastAsia="宋体" w:cs="Times New Roman"/>
    </w:rPr>
  </w:style>
  <w:style w:type="paragraph" w:styleId="5">
    <w:name w:val="Balloon Text"/>
    <w:basedOn w:val="1"/>
    <w:link w:val="14"/>
    <w:semiHidden/>
    <w:unhideWhenUsed/>
    <w:qFormat/>
    <w:uiPriority w:val="99"/>
    <w:rPr>
      <w:sz w:val="18"/>
      <w:szCs w:val="18"/>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source1"/>
    <w:basedOn w:val="1"/>
    <w:qFormat/>
    <w:uiPriority w:val="0"/>
    <w:pPr>
      <w:widowControl/>
      <w:spacing w:before="100" w:beforeAutospacing="1" w:after="100" w:afterAutospacing="1"/>
      <w:ind w:right="450"/>
      <w:jc w:val="left"/>
    </w:pPr>
    <w:rPr>
      <w:rFonts w:ascii="宋体" w:hAnsi="宋体" w:eastAsia="宋体" w:cs="宋体"/>
      <w:color w:val="6A6A6A"/>
      <w:kern w:val="0"/>
      <w:szCs w:val="21"/>
    </w:rPr>
  </w:style>
  <w:style w:type="paragraph" w:customStyle="1" w:styleId="13">
    <w:name w:val="date2"/>
    <w:basedOn w:val="1"/>
    <w:qFormat/>
    <w:uiPriority w:val="0"/>
    <w:pPr>
      <w:widowControl/>
      <w:spacing w:before="100" w:beforeAutospacing="1" w:after="100" w:afterAutospacing="1"/>
      <w:ind w:right="450"/>
      <w:jc w:val="left"/>
    </w:pPr>
    <w:rPr>
      <w:rFonts w:ascii="宋体" w:hAnsi="宋体" w:eastAsia="宋体" w:cs="宋体"/>
      <w:color w:val="6A6A6A"/>
      <w:kern w:val="0"/>
      <w:szCs w:val="21"/>
    </w:rPr>
  </w:style>
  <w:style w:type="character" w:customStyle="1" w:styleId="14">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1221</Words>
  <Characters>6964</Characters>
  <Lines>58</Lines>
  <Paragraphs>16</Paragraphs>
  <TotalTime>30</TotalTime>
  <ScaleCrop>false</ScaleCrop>
  <LinksUpToDate>false</LinksUpToDate>
  <CharactersWithSpaces>8169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2021-03-05T09:15:00Z</dcterms:created>
  <dc:creator>Administrator</dc:creator>
  <cp:lastModifiedBy>再唐</cp:lastModifiedBy>
  <dcterms:modified xsi:type="dcterms:W3CDTF">2023-10-27T00:46:48Z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543FE9E1B30A468396C0F40E095D711E_13</vt:lpwstr>
  </property>
</Properties>
</file>