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年贵州省十大农业主推技术</w:t>
      </w:r>
    </w:p>
    <w:p>
      <w:pPr>
        <w:pStyle w:val="5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华文中宋"/>
          <w:b/>
          <w:bCs w:val="0"/>
          <w:color w:val="auto"/>
          <w:sz w:val="36"/>
          <w:szCs w:val="36"/>
          <w:lang w:val="en-US" w:eastAsia="zh-CN"/>
        </w:rPr>
        <w:t>贵州省错季蔬菜高效接茬</w:t>
      </w:r>
      <w:r>
        <w:rPr>
          <w:rFonts w:hint="eastAsia" w:ascii="Times New Roman" w:hAnsi="Times New Roman" w:eastAsia="华文中宋"/>
          <w:b/>
          <w:bCs w:val="0"/>
          <w:color w:val="auto"/>
          <w:sz w:val="36"/>
          <w:szCs w:val="36"/>
        </w:rPr>
        <w:t>种植技术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楷体"/>
          <w:b/>
          <w:color w:val="auto"/>
          <w:sz w:val="32"/>
          <w:szCs w:val="32"/>
        </w:rPr>
      </w:pPr>
      <w:r>
        <w:rPr>
          <w:rFonts w:ascii="Times New Roman" w:hAnsi="Times New Roman" w:eastAsia="楷体"/>
          <w:b/>
          <w:color w:val="auto"/>
          <w:sz w:val="32"/>
          <w:szCs w:val="32"/>
        </w:rPr>
        <w:t>（一）技术基本情况</w:t>
      </w:r>
    </w:p>
    <w:p>
      <w:pPr>
        <w:adjustRightInd w:val="0"/>
        <w:snapToGrid w:val="0"/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错季蔬菜高效接茬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种植技术，是本单位在贵州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省榕江县、关岭县、罗甸县等低热河谷地区旱地开展的错季蔬菜高效接茬模式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研究与应用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，筛选出的适合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贵州省榕江县等低热河谷地区及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类似气候区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推广的一项技术。该技术主要在贵州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榕江县、罗甸县及省内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m以下的地区进行示范，年平均气温18-19℃以上，1月平均气温7-8℃。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本模式利用当地秋冬降温晚，冬春回温早的气候优势，开展蔬菜错季生产，配合蔬菜种类品种合理搭配，周年生产，保证蔬菜足量供应，增加土地产出，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增加农户收入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楷体"/>
          <w:b/>
          <w:color w:val="auto"/>
          <w:sz w:val="32"/>
          <w:szCs w:val="32"/>
        </w:rPr>
      </w:pPr>
      <w:r>
        <w:rPr>
          <w:rFonts w:ascii="Times New Roman" w:hAnsi="Times New Roman" w:eastAsia="楷体"/>
          <w:b/>
          <w:color w:val="auto"/>
          <w:sz w:val="32"/>
          <w:szCs w:val="32"/>
        </w:rPr>
        <w:t>（二）技术示范推广情况</w:t>
      </w:r>
    </w:p>
    <w:p>
      <w:pPr>
        <w:adjustRightInd w:val="0"/>
        <w:snapToGrid w:val="0"/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种植技术2018年—2021年在贵州省榕江县开展核心示范10000亩以上，年产值可达2.8万元，在省内关岭县断桥、从江县上皮林坝区等地带动农户种植面积1.5万亩、0.85万亩。目前该技术正在贵州省低热河谷地区推广应用，可向全国相似气候类型区域进行示范推广。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楷体"/>
          <w:b/>
          <w:color w:val="auto"/>
          <w:sz w:val="32"/>
          <w:szCs w:val="32"/>
        </w:rPr>
      </w:pPr>
      <w:r>
        <w:rPr>
          <w:rFonts w:ascii="Times New Roman" w:hAnsi="Times New Roman" w:eastAsia="楷体"/>
          <w:b/>
          <w:color w:val="auto"/>
          <w:sz w:val="32"/>
          <w:szCs w:val="32"/>
        </w:rPr>
        <w:t>（三）提质增效情况</w:t>
      </w:r>
    </w:p>
    <w:p>
      <w:pPr>
        <w:adjustRightInd w:val="0"/>
        <w:snapToGrid w:val="0"/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传统种植技术相比，应用该技术每667m2可增加亩产值70%以上。该技术采用喜凉蔬菜-喜温蔬菜错季合理高效换茬模式，遵循“高产高效、用地养地、协调发展和互为有利”的原则，可解决连续多年种植经济作物出现的连作障碍，合理利用土壤肥力、减轻病虫害、改善作物品质、提高劳动生产率。</w:t>
      </w:r>
    </w:p>
    <w:bookmarkEnd w:id="0"/>
    <w:p>
      <w:pPr>
        <w:snapToGrid w:val="0"/>
        <w:spacing w:line="560" w:lineRule="exact"/>
        <w:ind w:firstLine="643" w:firstLineChars="200"/>
        <w:rPr>
          <w:rFonts w:ascii="Times New Roman" w:hAnsi="Times New Roman" w:eastAsia="楷体"/>
          <w:b/>
          <w:color w:val="auto"/>
          <w:sz w:val="32"/>
          <w:szCs w:val="32"/>
        </w:rPr>
      </w:pPr>
      <w:r>
        <w:rPr>
          <w:rFonts w:ascii="Times New Roman" w:hAnsi="Times New Roman" w:eastAsia="楷体"/>
          <w:b/>
          <w:color w:val="auto"/>
          <w:sz w:val="32"/>
          <w:szCs w:val="32"/>
        </w:rPr>
        <w:t>（四）技术获奖情况</w:t>
      </w:r>
    </w:p>
    <w:p>
      <w:pPr>
        <w:adjustRightInd w:val="0"/>
        <w:snapToGrid w:val="0"/>
        <w:spacing w:line="600" w:lineRule="exact"/>
        <w:ind w:firstLine="641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未申报奖项。</w:t>
      </w:r>
    </w:p>
    <w:p>
      <w:pPr>
        <w:tabs>
          <w:tab w:val="right" w:pos="7666"/>
        </w:tabs>
        <w:snapToGrid w:val="0"/>
        <w:spacing w:line="600" w:lineRule="exact"/>
        <w:ind w:firstLine="640" w:firstLineChars="200"/>
        <w:rPr>
          <w:rFonts w:hint="eastAsia" w:ascii="Times New Roman" w:hAnsi="Times New Roman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二、技术要点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1、秋冬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蔬菜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品种大多为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喜凉蔬菜：豌豆尖、白菜苔、芥蓝等。豌豆尖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白菜薹、芥蓝9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初—10月中旬育苗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月上旬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11月中旬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旬开始采收，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次年2—3月根据市场情况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采收结束。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2、冬春蔬菜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茄果类蔬菜选择早熟的辣椒、茄子品种，上年11月底—12月初大棚育苗，次年2月中下旬移栽大田。4月中下旬开始采收，7月底采收接受。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瓜类蔬菜选择早熟品种，2月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旬播种育苗，2月底至3月初移栽，4月中旬开始采收，5月中旬采收结束。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豆类蔬菜选用早熟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菜豆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品种，2月上旬直播，4月中旬采收，5月中旬采收结束。</w:t>
      </w:r>
    </w:p>
    <w:p>
      <w:pPr>
        <w:adjustRightInd w:val="0"/>
        <w:snapToGrid w:val="0"/>
        <w:spacing w:line="600" w:lineRule="exact"/>
        <w:ind w:left="105" w:leftChars="5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套种春白菜选用耐抽薹品种，在1月中下旬采用大棚播种育苗，2月中下旬早熟果菜直播或移栽结束后在厢面上套种，种植密度根据市场需求确定白菜单株重量，每亩种植3000-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夏季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耐热果菜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Theme="minor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选用耐热性强的瓠瓜、豇豆品种。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若前茬作物为茄果类蔬菜，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瓠瓜于7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育苗，8月初移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栽，9月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若前茬作物为瓜豆类蔬菜，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可于7月底直播豇豆，8月中下旬采收，根据后茬作物播种期适时结束采收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三、适宜区域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冬季平均气温不低于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℃，夏季气温不超过36℃的长江以南地区。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四、注意事项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注意蔬菜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种类及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品种的选择，排灌设施完备。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五、技术依托单位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贵州省农业科学院园艺研究所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贵州蔬菜现代农业产业技术体系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榕江县农业投资开发有限公司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联系地址：贵阳市花溪区金欣社区鑫中路66号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邮政编码：560006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：李正丽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联系电话：15185008510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HYPERLINK "mailto:122510892@qq.com"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122510892@qq.com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99060</wp:posOffset>
            </wp:positionV>
            <wp:extent cx="4949825" cy="2788920"/>
            <wp:effectExtent l="0" t="0" r="3175" b="11430"/>
            <wp:wrapTopAndBottom/>
            <wp:docPr id="2" name="图片 2" descr="茄子套种白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茄子套种白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          图1 茄子套种春白菜</w:t>
      </w:r>
    </w:p>
    <w:p>
      <w:pPr>
        <w:adjustRightInd w:val="0"/>
        <w:snapToGrid w:val="0"/>
        <w:spacing w:line="600" w:lineRule="exact"/>
        <w:ind w:firstLine="640"/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宋体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297180</wp:posOffset>
            </wp:positionV>
            <wp:extent cx="2638425" cy="3517900"/>
            <wp:effectExtent l="0" t="0" r="9525" b="6350"/>
            <wp:wrapTopAndBottom/>
            <wp:docPr id="1" name="图片 1" descr="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图2 夏季豆类蔬菜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E"/>
    <w:rsid w:val="00001C05"/>
    <w:rsid w:val="00055049"/>
    <w:rsid w:val="0007287B"/>
    <w:rsid w:val="000D2074"/>
    <w:rsid w:val="000E7AF8"/>
    <w:rsid w:val="001073B7"/>
    <w:rsid w:val="001464E8"/>
    <w:rsid w:val="001603C6"/>
    <w:rsid w:val="00166721"/>
    <w:rsid w:val="001808B3"/>
    <w:rsid w:val="001D2C52"/>
    <w:rsid w:val="00215379"/>
    <w:rsid w:val="002314F9"/>
    <w:rsid w:val="00236D90"/>
    <w:rsid w:val="00240446"/>
    <w:rsid w:val="002543A2"/>
    <w:rsid w:val="002D2CC9"/>
    <w:rsid w:val="002D49DB"/>
    <w:rsid w:val="002D7985"/>
    <w:rsid w:val="002E4A9B"/>
    <w:rsid w:val="00304AC0"/>
    <w:rsid w:val="003074BA"/>
    <w:rsid w:val="00385828"/>
    <w:rsid w:val="003A653F"/>
    <w:rsid w:val="003B6E72"/>
    <w:rsid w:val="003C564F"/>
    <w:rsid w:val="004A6869"/>
    <w:rsid w:val="004E3C31"/>
    <w:rsid w:val="00521743"/>
    <w:rsid w:val="00576D71"/>
    <w:rsid w:val="00581C4C"/>
    <w:rsid w:val="005A1CC1"/>
    <w:rsid w:val="005B16E6"/>
    <w:rsid w:val="005C752C"/>
    <w:rsid w:val="005F5B9A"/>
    <w:rsid w:val="005F6EB8"/>
    <w:rsid w:val="00600055"/>
    <w:rsid w:val="00603A31"/>
    <w:rsid w:val="0061487D"/>
    <w:rsid w:val="0067348A"/>
    <w:rsid w:val="007430B6"/>
    <w:rsid w:val="0077007C"/>
    <w:rsid w:val="007A0A42"/>
    <w:rsid w:val="007A4D96"/>
    <w:rsid w:val="007C4CAD"/>
    <w:rsid w:val="008529CB"/>
    <w:rsid w:val="008534B2"/>
    <w:rsid w:val="00886984"/>
    <w:rsid w:val="008A06EA"/>
    <w:rsid w:val="00934A0C"/>
    <w:rsid w:val="00943E72"/>
    <w:rsid w:val="009700C3"/>
    <w:rsid w:val="009B647C"/>
    <w:rsid w:val="009F741F"/>
    <w:rsid w:val="00A26B42"/>
    <w:rsid w:val="00A36C31"/>
    <w:rsid w:val="00A42D7E"/>
    <w:rsid w:val="00A6733C"/>
    <w:rsid w:val="00B12A2F"/>
    <w:rsid w:val="00B229EA"/>
    <w:rsid w:val="00BA33F8"/>
    <w:rsid w:val="00BC0668"/>
    <w:rsid w:val="00C41140"/>
    <w:rsid w:val="00C470D2"/>
    <w:rsid w:val="00CB794A"/>
    <w:rsid w:val="00CD06E5"/>
    <w:rsid w:val="00CE11D0"/>
    <w:rsid w:val="00D46BFF"/>
    <w:rsid w:val="00D63A22"/>
    <w:rsid w:val="00D72A34"/>
    <w:rsid w:val="00D77127"/>
    <w:rsid w:val="00D8607C"/>
    <w:rsid w:val="00DE4DAE"/>
    <w:rsid w:val="00DE7E7E"/>
    <w:rsid w:val="00E03347"/>
    <w:rsid w:val="00E30289"/>
    <w:rsid w:val="00E542C1"/>
    <w:rsid w:val="00F12832"/>
    <w:rsid w:val="00FB46EB"/>
    <w:rsid w:val="00FC2F4D"/>
    <w:rsid w:val="00FF2CA0"/>
    <w:rsid w:val="015D5AA5"/>
    <w:rsid w:val="0280225B"/>
    <w:rsid w:val="03B8174A"/>
    <w:rsid w:val="03C61693"/>
    <w:rsid w:val="16F16736"/>
    <w:rsid w:val="18B75029"/>
    <w:rsid w:val="1E2A0D89"/>
    <w:rsid w:val="30252BEA"/>
    <w:rsid w:val="38573294"/>
    <w:rsid w:val="47F4547B"/>
    <w:rsid w:val="4C77175F"/>
    <w:rsid w:val="4F3078CE"/>
    <w:rsid w:val="52054646"/>
    <w:rsid w:val="62EB10CF"/>
    <w:rsid w:val="659D5B25"/>
    <w:rsid w:val="6C890830"/>
    <w:rsid w:val="715B0D25"/>
    <w:rsid w:val="7CFA259E"/>
    <w:rsid w:val="7DE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2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  <w:lang w:eastAsia="en-US"/>
    </w:rPr>
  </w:style>
  <w:style w:type="character" w:customStyle="1" w:styleId="12">
    <w:name w:val="标题 1 Char"/>
    <w:basedOn w:val="10"/>
    <w:link w:val="5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3">
    <w:name w:val="文档结构图 Char"/>
    <w:basedOn w:val="10"/>
    <w:link w:val="6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">
    <w:name w:val="批注框文本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1598</Characters>
  <Lines>13</Lines>
  <Paragraphs>3</Paragraphs>
  <TotalTime>1</TotalTime>
  <ScaleCrop>false</ScaleCrop>
  <LinksUpToDate>false</LinksUpToDate>
  <CharactersWithSpaces>1875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2021-02-21T02:54:00Z</dcterms:created>
  <dc:creator>fgzhen</dc:creator>
  <cp:lastModifiedBy>admin</cp:lastModifiedBy>
  <cp:lastPrinted>2021-02-22T02:18:00Z</cp:lastPrinted>
  <dcterms:modified xsi:type="dcterms:W3CDTF">2023-02-25T06:31:38Z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9289CB7185BC4E048BBB9FD2733348D1</vt:lpwstr>
  </property>
</Properties>
</file>