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水稻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“两增一调”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高产高效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栽培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技术</w:t>
      </w:r>
    </w:p>
    <w:p>
      <w:pPr>
        <w:rPr>
          <w:color w:val="auto"/>
        </w:rPr>
      </w:pPr>
    </w:p>
    <w:p>
      <w:pPr>
        <w:pStyle w:val="13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品种选择</w:t>
      </w:r>
    </w:p>
    <w:p>
      <w:pPr>
        <w:pStyle w:val="13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生育期适中、抗性较强、株叶形态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紧凑的水稻品种。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在生产过程中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的水稻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品种必须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经过国家或贵州省农作物品种审定委员会审定(认定)的优良水稻品种。种子质量必须符合GB4404粮食种子的规定。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育秧与苗床管理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我县水稻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种期一般为４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5月上旬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，一般采用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无纺布钵苗育秧、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无纺布旱育秧方式进行育秧。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无纺布钵苗育秧：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在播种前进行苗床准备，秧田整地时结合施用底肥，一般施用水稻专用复合肥50～70公斤/亩，苗床要求田块平整，高低差不超过2cm，泥土糊化，在播种前需持续淹水，在播种前2～3天放干田水。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种子处理：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播种前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2-3天要进行晒种选种。播种前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一天进行浸种，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播种当天沥干水，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肟菌•异噻胺+噻虫胺或者吡虫啉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进行拌种，然后装入准备好的营养土和种子进行播种，穴播种量2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～4粒为宜，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播种完成后将钵盘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放入苗床，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搭建小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拱棚，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无纺布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覆盖。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当水稻秧苗达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2叶1心时施用5～10公斤/亩尿素进行提苗。移栽前3～5天，需施用3～5公斤/亩尿素作送嫁肥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用杀虫剂和杀菌剂复配（如吡蚜酮+稻瘟灵）作送嫁药。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无纺布旱育秧：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无纺布旱育秧是指用小拱棚覆盖的旱育秧，一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采用菜园地进行，苗床土壤要求细、散，掏厢，厢面宽1-1.2m，高10cm，厢与厢留35-40cm操作行。种子处理：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播种前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2-3天要进行晒种选种。播种前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一天进行浸种，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播种当天沥干水，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用入田或者瑞胜+满适金进行拌种并晾干，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然后将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种子均匀撒播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在苗床上，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播种密度30g/m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，盖细土1.5-2cm，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搭建小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拱棚，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无纺布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覆盖。秧苗出土后，视苗情进行一次立枯病防治。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2叶1心时用5～10公斤/亩尿素进行提苗，移栽前3～5天，需施用3～5公斤/亩尿素作送嫁肥，用杀虫剂和杀菌剂复配（如吡蚜酮+稻瘟灵）作送嫁药。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移栽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播种育苗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25-30天，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根据气候、稻田肥力、品种特性等因素情况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及时进行移栽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30天内移栽结束，最迟不能超过35天。移栽密度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/亩以上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，窝栽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粒谷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。规格一般为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36.6cm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20cm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，行向一般采取东西行向，但冲沟田、河谷田宜顺风定行向。栽插深度小苗旱育秧不超过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2cm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，中苗不超过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3cm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。做到薄水浅栽插，栽插时做到匀、直、浅、稳、不伤苗。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施肥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N:P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:K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1:0.6:1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。磷肥一般全作基肥使用，钾肥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左右作基肥，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左右于在分蘖盛期（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叶龄）施用。氮肥基蘖肥和穗粒肥比例为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6:4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，穗肥一般在倒４叶至倒１叶期看苗分两次施用，粒肥于始穗期至灌浆期看苗施用。超高产栽培田块，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一般采用50公斤水稻专用复合肥（N-P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O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-K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O=15-15-15）+15公斤油枯作基肥，整地时施入；移栽后5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7天，撒施5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公斤尿素作分蘖肥，结合除草；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拔节孕穗期（葫芦叶出现）施促花肥，尿素12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公斤/亩，氯化钾15公斤/亩,即倒4叶施尿素7公斤/亩+氯化钾15公斤/亩，倒3叶施尿素5公斤/亩,始穗期或齐穗期施用尿素2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3公斤/亩作粒肥。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水浆管理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采取“三水三湿一干”的灌溉技术，即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寸水插秧，寸水施肥除草治虫，寸水孕穗开花，湿润水分蘖，湿润水幼穗分化，湿润水灌浆结实，茎蘖数达目标穗数85%～90%时够苗排水干田控蘖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，切记晒田过早或过晚。根据田块情况进行晒田管理，一般晒至鸡爪裂纹即可，根据秧苗田间生长情况及时灌水。扬花结束后，采取干湿交替，自然落干，直至落黄。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病虫草害防治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实行以防为主，综合防治的方针，重点抓好稻瘟病、纹枯病、稻飞虱、稻纵卷叶螟、二化螟的防治。稻飞虱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丛稻有虫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头以上的田块，小若虫高峰期时用药防治，如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用50%吡蚜酮可湿性粉剂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兑水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50公斤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喷雾；稻纵卷叶螟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丛稻有虫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头以上的田块，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龄幼虫盛期用药防治（如用10%甲维盐·茚虫威悬浮剂20～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30ml/亩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兑水喷施）；穗瘟病苗期至拔节期叶瘟叶发病率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以上的田块应立即施药控制，孕穗抽穗期应抢晴普遍施药预防（如用三环唑、富士一号等），一般始穗期喷１次，齐穗后再喷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次；纹枯病分蘖末期至园秆拔节期病丛率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，或孕穗期病丛率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时，应立即施药控制，药剂主要为井岗霉素；其它病虫根据发生情况挑治或兼治。杂草于栽秧后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左右用稻田除草剂，如用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的除草净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80g/亩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与第１次追肥尿素混匀施用，施药时保持约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3cm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的浅水达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七、收割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一般情况在收割前7天排水晒田，当85%的谷粒黄熟时即可收割。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mE4MWJjZTBjODRhMmMyYTBkZTJiZjQwZjhmMWNhNTgifQ=="/>
  </w:docVars>
  <w:rsids>
    <w:rsidRoot w:val="00000000"/>
    <w:rsid w:val="0E98509F"/>
    <w:rsid w:val="26915C07"/>
    <w:rsid w:val="307D2C43"/>
    <w:rsid w:val="355DC4F5"/>
    <w:rsid w:val="369938DF"/>
    <w:rsid w:val="3B320220"/>
    <w:rsid w:val="4EBF0822"/>
    <w:rsid w:val="6098413C"/>
    <w:rsid w:val="62F17359"/>
    <w:rsid w:val="66FB1BF1"/>
    <w:rsid w:val="73C7C820"/>
    <w:rsid w:val="7999016A"/>
    <w:rsid w:val="7FDD26C6"/>
    <w:rsid w:val="7FFF6ACC"/>
    <w:rsid w:val="BD7FD900"/>
    <w:rsid w:val="BEFFDA0F"/>
    <w:rsid w:val="BFFEE9F7"/>
    <w:rsid w:val="E6DF0172"/>
    <w:rsid w:val="FBFFCA42"/>
    <w:rsid w:val="FFE69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100" w:beforeLines="100" w:after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autoRedefine/>
    <w:qFormat/>
    <w:uiPriority w:val="0"/>
    <w:rPr>
      <w:rFonts w:ascii="Arial" w:hAnsi="Arial" w:eastAsia="Times New Roman" w:cs="Verdana"/>
      <w:b/>
      <w:color w:val="0000FF"/>
      <w:kern w:val="0"/>
      <w:sz w:val="24"/>
      <w:szCs w:val="20"/>
      <w:u w:val="single"/>
    </w:rPr>
  </w:style>
  <w:style w:type="paragraph" w:customStyle="1" w:styleId="13">
    <w:name w:val="段"/>
    <w:next w:val="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2382</Words>
  <Characters>2719</Characters>
  <Lines>119</Lines>
  <Paragraphs>33</Paragraphs>
  <TotalTime>30</TotalTime>
  <ScaleCrop>false</ScaleCrop>
  <LinksUpToDate>false</LinksUpToDate>
  <CharactersWithSpaces>2725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2021-01-06T14:23:00Z</dcterms:created>
  <dc:creator>fgzhen</dc:creator>
  <cp:lastModifiedBy>凡人</cp:lastModifiedBy>
  <cp:lastPrinted>2021-01-13T16:38:00Z</cp:lastPrinted>
  <dcterms:modified xsi:type="dcterms:W3CDTF">2024-02-22T12:45:11Z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15E11B4A2FD34269965677FA777C520B_12</vt:lpwstr>
  </property>
</Properties>
</file>